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BFA6C" w14:textId="1C15EE0A" w:rsidR="003258DE" w:rsidRPr="004536E6" w:rsidRDefault="00EC1FCD" w:rsidP="00EC1FCD">
      <w:pPr>
        <w:pStyle w:val="Normaltext"/>
        <w:spacing w:before="240"/>
        <w:jc w:val="left"/>
        <w:rPr>
          <w:iCs/>
          <w:color w:val="000000"/>
        </w:rPr>
      </w:pPr>
      <w:r>
        <w:rPr>
          <w:rFonts w:eastAsiaTheme="majorEastAsia"/>
          <w:b/>
          <w:bCs/>
          <w:color w:val="004D76"/>
          <w:sz w:val="56"/>
          <w:szCs w:val="56"/>
          <w:lang w:eastAsia="en-US"/>
        </w:rPr>
        <w:t xml:space="preserve">Pre-demolition </w:t>
      </w:r>
      <w:r w:rsidR="003258DE" w:rsidRPr="004536E6">
        <w:rPr>
          <w:rFonts w:eastAsiaTheme="majorEastAsia"/>
          <w:b/>
          <w:bCs/>
          <w:color w:val="004D76"/>
          <w:sz w:val="56"/>
          <w:szCs w:val="56"/>
          <w:lang w:eastAsia="en-US"/>
        </w:rPr>
        <w:t xml:space="preserve">Screening Procedure </w:t>
      </w:r>
    </w:p>
    <w:p w14:paraId="6FB2E111" w14:textId="2D5B706C" w:rsidR="003258DE" w:rsidRPr="006B6BF8" w:rsidRDefault="003258DE" w:rsidP="003258DE">
      <w:pPr>
        <w:pStyle w:val="Normaltext"/>
        <w:rPr>
          <w:rFonts w:eastAsiaTheme="majorEastAsia"/>
          <w:b/>
          <w:bCs/>
          <w:color w:val="00B6ED"/>
          <w:sz w:val="36"/>
          <w:szCs w:val="36"/>
          <w:lang w:val="en-US" w:eastAsia="en-US"/>
        </w:rPr>
      </w:pPr>
      <w:r w:rsidRPr="004536E6">
        <w:rPr>
          <w:rFonts w:eastAsiaTheme="majorEastAsia"/>
          <w:b/>
          <w:bCs/>
          <w:color w:val="00B6ED"/>
          <w:sz w:val="36"/>
          <w:szCs w:val="36"/>
          <w:lang w:eastAsia="en-US"/>
        </w:rPr>
        <w:t xml:space="preserve">CDW </w:t>
      </w:r>
      <w:bookmarkStart w:id="0" w:name="_GoBack"/>
      <w:bookmarkEnd w:id="0"/>
    </w:p>
    <w:p w14:paraId="3C5A2AEF" w14:textId="109F0C87" w:rsidR="003258DE" w:rsidRPr="004536E6" w:rsidRDefault="009A77F5" w:rsidP="003258DE">
      <w:pPr>
        <w:pStyle w:val="Heading3"/>
        <w:numPr>
          <w:ilvl w:val="0"/>
          <w:numId w:val="0"/>
        </w:numPr>
        <w:ind w:left="1224" w:hanging="1224"/>
      </w:pPr>
      <w:r>
        <w:t>Description</w:t>
      </w:r>
    </w:p>
    <w:p w14:paraId="6A2DEF82" w14:textId="53A2CD67" w:rsidR="003258DE" w:rsidRPr="004536E6" w:rsidRDefault="003258DE" w:rsidP="003258D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536E6">
        <w:rPr>
          <w:rFonts w:ascii="Arial" w:hAnsi="Arial" w:cs="Arial"/>
          <w:color w:val="000000"/>
          <w:sz w:val="22"/>
          <w:szCs w:val="22"/>
        </w:rPr>
        <w:t xml:space="preserve">This procedure explains how a </w:t>
      </w:r>
      <w:r w:rsidR="00EC1FCD">
        <w:rPr>
          <w:rFonts w:ascii="Arial" w:hAnsi="Arial" w:cs="Arial"/>
          <w:color w:val="000000"/>
          <w:sz w:val="22"/>
          <w:szCs w:val="22"/>
        </w:rPr>
        <w:t xml:space="preserve">pre-demolition inventory and material audit </w:t>
      </w:r>
      <w:proofErr w:type="gramStart"/>
      <w:r w:rsidR="00EC1FCD">
        <w:rPr>
          <w:rFonts w:ascii="Arial" w:hAnsi="Arial" w:cs="Arial"/>
          <w:color w:val="000000"/>
          <w:sz w:val="22"/>
          <w:szCs w:val="22"/>
        </w:rPr>
        <w:t>can</w:t>
      </w:r>
      <w:r w:rsidRPr="004536E6">
        <w:rPr>
          <w:rFonts w:ascii="Arial" w:hAnsi="Arial" w:cs="Arial"/>
          <w:color w:val="000000"/>
          <w:sz w:val="22"/>
          <w:szCs w:val="22"/>
        </w:rPr>
        <w:t xml:space="preserve"> be conducted</w:t>
      </w:r>
      <w:proofErr w:type="gramEnd"/>
      <w:r w:rsidRPr="004536E6">
        <w:rPr>
          <w:rFonts w:ascii="Arial" w:hAnsi="Arial" w:cs="Arial"/>
          <w:color w:val="000000"/>
          <w:sz w:val="22"/>
          <w:szCs w:val="22"/>
        </w:rPr>
        <w:t xml:space="preserve"> to </w:t>
      </w:r>
      <w:r w:rsidR="00EC1FCD">
        <w:rPr>
          <w:rFonts w:ascii="Arial" w:hAnsi="Arial" w:cs="Arial"/>
          <w:color w:val="000000"/>
          <w:sz w:val="22"/>
          <w:szCs w:val="22"/>
        </w:rPr>
        <w:t>identify</w:t>
      </w:r>
      <w:r w:rsidRPr="004536E6">
        <w:rPr>
          <w:rFonts w:ascii="Arial" w:hAnsi="Arial" w:cs="Arial"/>
          <w:color w:val="000000"/>
          <w:sz w:val="22"/>
          <w:szCs w:val="22"/>
        </w:rPr>
        <w:t xml:space="preserve"> building components and materials with reuse or recycling potential. It </w:t>
      </w:r>
      <w:proofErr w:type="gramStart"/>
      <w:r w:rsidRPr="004536E6">
        <w:rPr>
          <w:rFonts w:ascii="Arial" w:hAnsi="Arial" w:cs="Arial"/>
          <w:color w:val="000000"/>
          <w:sz w:val="22"/>
          <w:szCs w:val="22"/>
        </w:rPr>
        <w:t>can be applied</w:t>
      </w:r>
      <w:proofErr w:type="gramEnd"/>
      <w:r w:rsidRPr="004536E6">
        <w:rPr>
          <w:rFonts w:ascii="Arial" w:hAnsi="Arial" w:cs="Arial"/>
          <w:color w:val="000000"/>
          <w:sz w:val="22"/>
          <w:szCs w:val="22"/>
        </w:rPr>
        <w:t xml:space="preserve"> when planning demolition projects, with sufficient time and coordination among actors, such that </w:t>
      </w:r>
      <w:r w:rsidR="00EC1FCD">
        <w:rPr>
          <w:rFonts w:ascii="Arial" w:hAnsi="Arial" w:cs="Arial"/>
          <w:color w:val="000000"/>
          <w:sz w:val="22"/>
          <w:szCs w:val="22"/>
        </w:rPr>
        <w:t xml:space="preserve">the pre-demolition </w:t>
      </w:r>
      <w:r w:rsidRPr="004536E6">
        <w:rPr>
          <w:rFonts w:ascii="Arial" w:hAnsi="Arial" w:cs="Arial"/>
          <w:color w:val="000000"/>
          <w:sz w:val="22"/>
          <w:szCs w:val="22"/>
        </w:rPr>
        <w:t xml:space="preserve">screening </w:t>
      </w:r>
      <w:r w:rsidR="00EC1FCD">
        <w:rPr>
          <w:rFonts w:ascii="Arial" w:hAnsi="Arial" w:cs="Arial"/>
          <w:color w:val="000000"/>
          <w:sz w:val="22"/>
          <w:szCs w:val="22"/>
        </w:rPr>
        <w:t>(</w:t>
      </w:r>
      <w:r w:rsidRPr="004536E6">
        <w:rPr>
          <w:rFonts w:ascii="Arial" w:hAnsi="Arial" w:cs="Arial"/>
          <w:color w:val="000000"/>
          <w:sz w:val="22"/>
          <w:szCs w:val="22"/>
        </w:rPr>
        <w:t xml:space="preserve">and </w:t>
      </w:r>
      <w:r w:rsidR="00EC1FCD">
        <w:rPr>
          <w:rFonts w:ascii="Arial" w:hAnsi="Arial" w:cs="Arial"/>
          <w:color w:val="000000"/>
          <w:sz w:val="22"/>
          <w:szCs w:val="22"/>
        </w:rPr>
        <w:t xml:space="preserve">subsequent </w:t>
      </w:r>
      <w:r w:rsidRPr="004536E6">
        <w:rPr>
          <w:rFonts w:ascii="Arial" w:hAnsi="Arial" w:cs="Arial"/>
          <w:color w:val="000000"/>
          <w:sz w:val="22"/>
          <w:szCs w:val="22"/>
        </w:rPr>
        <w:t>selective demolition</w:t>
      </w:r>
      <w:r w:rsidR="00EC1FCD">
        <w:rPr>
          <w:rFonts w:ascii="Arial" w:hAnsi="Arial" w:cs="Arial"/>
          <w:color w:val="000000"/>
          <w:sz w:val="22"/>
          <w:szCs w:val="22"/>
        </w:rPr>
        <w:t>)</w:t>
      </w:r>
      <w:r w:rsidRPr="004536E6">
        <w:rPr>
          <w:rFonts w:ascii="Arial" w:hAnsi="Arial" w:cs="Arial"/>
          <w:color w:val="000000"/>
          <w:sz w:val="22"/>
          <w:szCs w:val="22"/>
        </w:rPr>
        <w:t xml:space="preserve"> be required in the procurem</w:t>
      </w:r>
      <w:r w:rsidR="00EC1FCD">
        <w:rPr>
          <w:rFonts w:ascii="Arial" w:hAnsi="Arial" w:cs="Arial"/>
          <w:color w:val="000000"/>
          <w:sz w:val="22"/>
          <w:szCs w:val="22"/>
        </w:rPr>
        <w:t xml:space="preserve">ent of a demolition contractor. </w:t>
      </w:r>
      <w:r w:rsidRPr="004536E6">
        <w:rPr>
          <w:rFonts w:ascii="Arial" w:hAnsi="Arial" w:cs="Arial"/>
          <w:color w:val="000000"/>
          <w:sz w:val="22"/>
          <w:szCs w:val="22"/>
        </w:rPr>
        <w:t>The screening procedure details how to identify and evaluate the residual value of a component or material</w:t>
      </w:r>
      <w:r w:rsidR="00EC1FCD">
        <w:rPr>
          <w:rFonts w:ascii="Arial" w:hAnsi="Arial" w:cs="Arial"/>
          <w:color w:val="000000"/>
          <w:sz w:val="22"/>
          <w:szCs w:val="22"/>
        </w:rPr>
        <w:t xml:space="preserve">. Identification of materials (as containing harmful substances, or as having residual value </w:t>
      </w:r>
      <w:r w:rsidR="006B6BF8">
        <w:rPr>
          <w:rFonts w:ascii="Arial" w:hAnsi="Arial" w:cs="Arial"/>
          <w:color w:val="000000"/>
          <w:sz w:val="22"/>
          <w:szCs w:val="22"/>
        </w:rPr>
        <w:t>and potential for other uses) is the key first step to preventing their treatment as waste.</w:t>
      </w:r>
    </w:p>
    <w:p w14:paraId="7F4A4283" w14:textId="77777777" w:rsidR="003258DE" w:rsidRPr="004536E6" w:rsidRDefault="003258DE" w:rsidP="003258DE">
      <w:pPr>
        <w:pStyle w:val="Boldtextstyle"/>
      </w:pPr>
      <w:r w:rsidRPr="004536E6">
        <w:t>Keywords:</w:t>
      </w:r>
    </w:p>
    <w:p w14:paraId="5EE69832" w14:textId="77777777" w:rsidR="003258DE" w:rsidRPr="004536E6" w:rsidRDefault="003258DE" w:rsidP="003258DE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536E6">
        <w:rPr>
          <w:rFonts w:ascii="Arial" w:hAnsi="Arial" w:cs="Arial"/>
          <w:color w:val="000000"/>
          <w:sz w:val="22"/>
          <w:szCs w:val="22"/>
        </w:rPr>
        <w:t>#Demolition; #Renovation</w:t>
      </w:r>
    </w:p>
    <w:p w14:paraId="4F6992B3" w14:textId="77777777" w:rsidR="003258DE" w:rsidRPr="004536E6" w:rsidRDefault="003258DE" w:rsidP="003258DE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536E6">
        <w:rPr>
          <w:rFonts w:ascii="Arial" w:hAnsi="Arial" w:cs="Arial"/>
          <w:color w:val="000000"/>
          <w:sz w:val="22"/>
          <w:szCs w:val="22"/>
        </w:rPr>
        <w:t>#Planning</w:t>
      </w:r>
    </w:p>
    <w:p w14:paraId="202DC362" w14:textId="77777777" w:rsidR="003258DE" w:rsidRPr="004536E6" w:rsidRDefault="003258DE" w:rsidP="003258DE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536E6">
        <w:rPr>
          <w:rFonts w:ascii="Arial" w:hAnsi="Arial" w:cs="Arial"/>
          <w:color w:val="000000"/>
          <w:sz w:val="22"/>
          <w:szCs w:val="22"/>
        </w:rPr>
        <w:t>#Procurement</w:t>
      </w:r>
    </w:p>
    <w:p w14:paraId="16AD3EBA" w14:textId="6C0C7AF3" w:rsidR="003258DE" w:rsidRPr="004536E6" w:rsidRDefault="006B6BF8" w:rsidP="003258DE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#</w:t>
      </w:r>
      <w:r w:rsidR="003258DE" w:rsidRPr="004536E6">
        <w:rPr>
          <w:rFonts w:ascii="Arial" w:hAnsi="Arial" w:cs="Arial"/>
          <w:color w:val="000000"/>
          <w:sz w:val="22"/>
          <w:szCs w:val="22"/>
        </w:rPr>
        <w:t>Recover</w:t>
      </w:r>
    </w:p>
    <w:p w14:paraId="47F4A4BA" w14:textId="77777777" w:rsidR="006B6BF8" w:rsidRPr="004536E6" w:rsidRDefault="006B6BF8" w:rsidP="006B6BF8">
      <w:pPr>
        <w:pStyle w:val="Boldtextstyle"/>
        <w:ind w:left="0"/>
      </w:pPr>
      <w:r>
        <w:t>Complementary tools</w:t>
      </w:r>
      <w:r w:rsidRPr="004536E6">
        <w:t>:</w:t>
      </w:r>
    </w:p>
    <w:p w14:paraId="0F60579A" w14:textId="7C39C2FB" w:rsidR="006B6BF8" w:rsidRPr="006B6BF8" w:rsidRDefault="006B6BF8" w:rsidP="006B6BF8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Selective demolition procedure, CDW Quality Assessment, LCA tool, Material passport/ databank, Material marketplace</w:t>
      </w:r>
    </w:p>
    <w:p w14:paraId="0F4C1AEC" w14:textId="77777777" w:rsidR="003258DE" w:rsidRPr="004536E6" w:rsidRDefault="003258DE" w:rsidP="003258DE">
      <w:pPr>
        <w:pStyle w:val="Boldtextstyle"/>
        <w:ind w:left="0"/>
      </w:pPr>
      <w:r w:rsidRPr="004536E6">
        <w:t>Target user:</w:t>
      </w:r>
    </w:p>
    <w:p w14:paraId="75B18FCC" w14:textId="77777777" w:rsidR="003258DE" w:rsidRPr="004536E6" w:rsidRDefault="003258DE" w:rsidP="003258DE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536E6">
        <w:rPr>
          <w:rFonts w:ascii="Arial" w:hAnsi="Arial" w:cs="Arial"/>
          <w:color w:val="000000"/>
          <w:sz w:val="22"/>
          <w:szCs w:val="22"/>
        </w:rPr>
        <w:t>Local governments - (e.g. departments of buildings &amp; infrastructure, environment, urban development, procurement)</w:t>
      </w:r>
    </w:p>
    <w:p w14:paraId="37E66A90" w14:textId="77777777" w:rsidR="003258DE" w:rsidRPr="004536E6" w:rsidRDefault="003258DE" w:rsidP="003258DE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536E6">
        <w:rPr>
          <w:rFonts w:ascii="Arial" w:hAnsi="Arial" w:cs="Arial"/>
          <w:color w:val="000000"/>
          <w:sz w:val="22"/>
          <w:szCs w:val="22"/>
        </w:rPr>
        <w:t>Businesses - (e.g. demolition contractors, building owners)</w:t>
      </w:r>
    </w:p>
    <w:p w14:paraId="1D92EE0E" w14:textId="77777777" w:rsidR="003258DE" w:rsidRPr="004536E6" w:rsidRDefault="003258DE" w:rsidP="003258DE">
      <w:pPr>
        <w:pStyle w:val="Boldtextstyle"/>
        <w:ind w:left="0"/>
      </w:pPr>
      <w:r w:rsidRPr="004536E6">
        <w:t>Format:</w:t>
      </w:r>
    </w:p>
    <w:p w14:paraId="70809579" w14:textId="31B7A1EE" w:rsidR="006B6BF8" w:rsidRPr="006B6BF8" w:rsidRDefault="006B6BF8" w:rsidP="006B6BF8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B6BF8">
        <w:rPr>
          <w:rFonts w:ascii="Arial" w:hAnsi="Arial" w:cs="Arial"/>
          <w:color w:val="000000"/>
          <w:sz w:val="22"/>
          <w:szCs w:val="22"/>
        </w:rPr>
        <w:t>Guide on pre-demolition screening procedure (document in English)</w:t>
      </w:r>
    </w:p>
    <w:p w14:paraId="12F283C6" w14:textId="77777777" w:rsidR="009A77F5" w:rsidRDefault="009A77F5">
      <w:pPr>
        <w:rPr>
          <w:rFonts w:ascii="Arial" w:eastAsiaTheme="majorEastAsia" w:hAnsi="Arial" w:cs="Arial"/>
          <w:b/>
          <w:bCs/>
          <w:color w:val="004D76"/>
          <w:sz w:val="56"/>
          <w:szCs w:val="56"/>
          <w:lang w:val="en-US" w:eastAsia="en-US"/>
        </w:rPr>
      </w:pPr>
      <w:r>
        <w:rPr>
          <w:rFonts w:eastAsiaTheme="majorEastAsia"/>
          <w:b/>
          <w:bCs/>
          <w:color w:val="004D76"/>
          <w:sz w:val="56"/>
          <w:szCs w:val="56"/>
          <w:lang w:val="en-US" w:eastAsia="en-US"/>
        </w:rPr>
        <w:br w:type="page"/>
      </w:r>
    </w:p>
    <w:p w14:paraId="507FCB46" w14:textId="4707D7E7" w:rsidR="00EC1FCD" w:rsidRPr="004536E6" w:rsidRDefault="00EC1FCD" w:rsidP="00EC1FCD">
      <w:pPr>
        <w:pStyle w:val="Normaltext"/>
        <w:spacing w:before="240"/>
        <w:rPr>
          <w:iCs/>
          <w:color w:val="000000"/>
        </w:rPr>
      </w:pPr>
      <w:r w:rsidRPr="004536E6">
        <w:rPr>
          <w:rFonts w:eastAsiaTheme="majorEastAsia"/>
          <w:b/>
          <w:bCs/>
          <w:color w:val="004D76"/>
          <w:sz w:val="56"/>
          <w:szCs w:val="56"/>
          <w:lang w:eastAsia="en-US"/>
        </w:rPr>
        <w:lastRenderedPageBreak/>
        <w:t>Selective Demolition</w:t>
      </w:r>
      <w:r>
        <w:rPr>
          <w:rFonts w:eastAsiaTheme="majorEastAsia"/>
          <w:b/>
          <w:bCs/>
          <w:color w:val="004D76"/>
          <w:sz w:val="56"/>
          <w:szCs w:val="56"/>
          <w:lang w:eastAsia="en-US"/>
        </w:rPr>
        <w:t xml:space="preserve"> </w:t>
      </w:r>
      <w:r w:rsidR="006B6BF8">
        <w:rPr>
          <w:rFonts w:eastAsiaTheme="majorEastAsia"/>
          <w:b/>
          <w:bCs/>
          <w:color w:val="004D76"/>
          <w:sz w:val="56"/>
          <w:szCs w:val="56"/>
          <w:lang w:eastAsia="en-US"/>
        </w:rPr>
        <w:t>Procedure</w:t>
      </w:r>
    </w:p>
    <w:p w14:paraId="0575977D" w14:textId="080E72EC" w:rsidR="0041735A" w:rsidRPr="0041735A" w:rsidRDefault="003715E8" w:rsidP="0041735A">
      <w:pPr>
        <w:pStyle w:val="Normaltext"/>
        <w:rPr>
          <w:rFonts w:eastAsiaTheme="majorEastAsia"/>
          <w:b/>
          <w:bCs/>
          <w:color w:val="00B6ED"/>
          <w:sz w:val="36"/>
          <w:szCs w:val="36"/>
          <w:lang w:val="en-US" w:eastAsia="en-US"/>
        </w:rPr>
      </w:pPr>
      <w:r w:rsidRPr="003715E8">
        <w:rPr>
          <w:rFonts w:eastAsiaTheme="majorEastAsia"/>
          <w:b/>
          <w:bCs/>
          <w:color w:val="00B6ED"/>
          <w:sz w:val="36"/>
          <w:szCs w:val="36"/>
          <w:lang w:val="en-US" w:eastAsia="en-US"/>
        </w:rPr>
        <w:t xml:space="preserve">CDW </w:t>
      </w:r>
    </w:p>
    <w:p w14:paraId="6144E4E4" w14:textId="18AB7883" w:rsidR="003715E8" w:rsidRPr="003715E8" w:rsidRDefault="00EC1FCD" w:rsidP="003715E8">
      <w:pPr>
        <w:pStyle w:val="Heading3"/>
        <w:numPr>
          <w:ilvl w:val="0"/>
          <w:numId w:val="0"/>
        </w:numPr>
        <w:ind w:left="1224" w:hanging="1224"/>
      </w:pPr>
      <w:r>
        <w:t>Description</w:t>
      </w:r>
    </w:p>
    <w:p w14:paraId="438E311A" w14:textId="49D0176D" w:rsidR="00EC1FCD" w:rsidRPr="004536E6" w:rsidRDefault="00EC1FCD" w:rsidP="00EC1FCD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536E6">
        <w:rPr>
          <w:rFonts w:ascii="Arial" w:hAnsi="Arial" w:cs="Arial"/>
          <w:color w:val="000000"/>
          <w:sz w:val="22"/>
          <w:szCs w:val="22"/>
        </w:rPr>
        <w:t xml:space="preserve">This procedure explains how a selective demolition </w:t>
      </w:r>
      <w:proofErr w:type="gramStart"/>
      <w:r w:rsidRPr="004536E6">
        <w:rPr>
          <w:rFonts w:ascii="Arial" w:hAnsi="Arial" w:cs="Arial"/>
          <w:color w:val="000000"/>
          <w:sz w:val="22"/>
          <w:szCs w:val="22"/>
        </w:rPr>
        <w:t>can be conducted</w:t>
      </w:r>
      <w:proofErr w:type="gramEnd"/>
      <w:r w:rsidRPr="004536E6">
        <w:rPr>
          <w:rFonts w:ascii="Arial" w:hAnsi="Arial" w:cs="Arial"/>
          <w:color w:val="000000"/>
          <w:sz w:val="22"/>
          <w:szCs w:val="22"/>
        </w:rPr>
        <w:t xml:space="preserve"> to select and preserve value of building components and materials with reuse or recycling potential</w:t>
      </w:r>
      <w:r w:rsidR="006B6BF8">
        <w:rPr>
          <w:rFonts w:ascii="Arial" w:hAnsi="Arial" w:cs="Arial"/>
          <w:color w:val="000000"/>
          <w:sz w:val="22"/>
          <w:szCs w:val="22"/>
        </w:rPr>
        <w:t>, following a series of chronological steps to dismount components or materials without damaging them</w:t>
      </w:r>
      <w:r w:rsidRPr="004536E6">
        <w:rPr>
          <w:rFonts w:ascii="Arial" w:hAnsi="Arial" w:cs="Arial"/>
          <w:color w:val="000000"/>
          <w:sz w:val="22"/>
          <w:szCs w:val="22"/>
        </w:rPr>
        <w:t xml:space="preserve">. It </w:t>
      </w:r>
      <w:proofErr w:type="gramStart"/>
      <w:r w:rsidRPr="004536E6">
        <w:rPr>
          <w:rFonts w:ascii="Arial" w:hAnsi="Arial" w:cs="Arial"/>
          <w:color w:val="000000"/>
          <w:sz w:val="22"/>
          <w:szCs w:val="22"/>
        </w:rPr>
        <w:t>can be applied</w:t>
      </w:r>
      <w:proofErr w:type="gramEnd"/>
      <w:r w:rsidRPr="004536E6">
        <w:rPr>
          <w:rFonts w:ascii="Arial" w:hAnsi="Arial" w:cs="Arial"/>
          <w:color w:val="000000"/>
          <w:sz w:val="22"/>
          <w:szCs w:val="22"/>
        </w:rPr>
        <w:t xml:space="preserve"> when planning demolition projects, with sufficient time and coordination among actors, such that selective demolition be required in the procurem</w:t>
      </w:r>
      <w:r w:rsidR="006B6BF8">
        <w:rPr>
          <w:rFonts w:ascii="Arial" w:hAnsi="Arial" w:cs="Arial"/>
          <w:color w:val="000000"/>
          <w:sz w:val="22"/>
          <w:szCs w:val="22"/>
        </w:rPr>
        <w:t xml:space="preserve">ent of a demolition contractor. </w:t>
      </w:r>
      <w:r w:rsidRPr="004536E6">
        <w:rPr>
          <w:rFonts w:ascii="Arial" w:hAnsi="Arial" w:cs="Arial"/>
          <w:color w:val="000000"/>
          <w:sz w:val="22"/>
          <w:szCs w:val="22"/>
        </w:rPr>
        <w:t xml:space="preserve">The selective demolition </w:t>
      </w:r>
      <w:r w:rsidR="006B6BF8">
        <w:rPr>
          <w:rFonts w:ascii="Arial" w:hAnsi="Arial" w:cs="Arial"/>
          <w:color w:val="000000"/>
          <w:sz w:val="22"/>
          <w:szCs w:val="22"/>
        </w:rPr>
        <w:t>procedure guide</w:t>
      </w:r>
      <w:r w:rsidRPr="004536E6">
        <w:rPr>
          <w:rFonts w:ascii="Arial" w:hAnsi="Arial" w:cs="Arial"/>
          <w:color w:val="000000"/>
          <w:sz w:val="22"/>
          <w:szCs w:val="22"/>
        </w:rPr>
        <w:t xml:space="preserve"> gives </w:t>
      </w:r>
      <w:r w:rsidR="006B6BF8">
        <w:rPr>
          <w:rFonts w:ascii="Arial" w:hAnsi="Arial" w:cs="Arial"/>
          <w:color w:val="000000"/>
          <w:sz w:val="22"/>
          <w:szCs w:val="22"/>
        </w:rPr>
        <w:t>recommendations</w:t>
      </w:r>
      <w:r w:rsidRPr="004536E6">
        <w:rPr>
          <w:rFonts w:ascii="Arial" w:hAnsi="Arial" w:cs="Arial"/>
          <w:color w:val="000000"/>
          <w:sz w:val="22"/>
          <w:szCs w:val="22"/>
        </w:rPr>
        <w:t xml:space="preserve"> to manage material removal and treatment. By removing harmful substances and salvaging construction materials with recoverable value, a more circular demolition can take place, thus reducing the total CDW generated on site and creating secondary construction material supply.</w:t>
      </w:r>
    </w:p>
    <w:p w14:paraId="40FE9966" w14:textId="77777777" w:rsidR="00EC1FCD" w:rsidRPr="004536E6" w:rsidRDefault="00EC1FCD" w:rsidP="00EC1FCD">
      <w:pPr>
        <w:pStyle w:val="Boldtextstyle"/>
      </w:pPr>
      <w:r w:rsidRPr="004536E6">
        <w:t>Keywords:</w:t>
      </w:r>
    </w:p>
    <w:p w14:paraId="024FA790" w14:textId="77777777" w:rsidR="00EC1FCD" w:rsidRPr="004536E6" w:rsidRDefault="00EC1FCD" w:rsidP="00EC1FCD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536E6">
        <w:rPr>
          <w:rFonts w:ascii="Arial" w:hAnsi="Arial" w:cs="Arial"/>
          <w:color w:val="000000"/>
          <w:sz w:val="22"/>
          <w:szCs w:val="22"/>
        </w:rPr>
        <w:t>#Demolition; #Renovation</w:t>
      </w:r>
    </w:p>
    <w:p w14:paraId="44DBFA0E" w14:textId="77777777" w:rsidR="00EC1FCD" w:rsidRPr="004536E6" w:rsidRDefault="00EC1FCD" w:rsidP="00EC1FCD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536E6">
        <w:rPr>
          <w:rFonts w:ascii="Arial" w:hAnsi="Arial" w:cs="Arial"/>
          <w:color w:val="000000"/>
          <w:sz w:val="22"/>
          <w:szCs w:val="22"/>
        </w:rPr>
        <w:t>#Planning</w:t>
      </w:r>
    </w:p>
    <w:p w14:paraId="4614D483" w14:textId="77777777" w:rsidR="00EC1FCD" w:rsidRPr="004536E6" w:rsidRDefault="00EC1FCD" w:rsidP="00EC1FCD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536E6">
        <w:rPr>
          <w:rFonts w:ascii="Arial" w:hAnsi="Arial" w:cs="Arial"/>
          <w:color w:val="000000"/>
          <w:sz w:val="22"/>
          <w:szCs w:val="22"/>
        </w:rPr>
        <w:t>#Procurement</w:t>
      </w:r>
    </w:p>
    <w:p w14:paraId="282985E0" w14:textId="2E2E9BCF" w:rsidR="00EC1FCD" w:rsidRPr="006B6BF8" w:rsidRDefault="00EC1FCD" w:rsidP="00EC1FCD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iCs/>
          <w:color w:val="000000"/>
          <w:sz w:val="22"/>
          <w:szCs w:val="22"/>
        </w:rPr>
      </w:pPr>
      <w:r w:rsidRPr="004536E6">
        <w:rPr>
          <w:rFonts w:ascii="Arial" w:hAnsi="Arial" w:cs="Arial"/>
          <w:color w:val="000000"/>
          <w:sz w:val="22"/>
          <w:szCs w:val="22"/>
        </w:rPr>
        <w:t>#Recover</w:t>
      </w:r>
    </w:p>
    <w:p w14:paraId="48A9DAA6" w14:textId="77777777" w:rsidR="006B6BF8" w:rsidRPr="004536E6" w:rsidRDefault="006B6BF8" w:rsidP="006B6BF8">
      <w:pPr>
        <w:pStyle w:val="Boldtextstyle"/>
        <w:ind w:left="0"/>
      </w:pPr>
      <w:r>
        <w:t>Complementary tools</w:t>
      </w:r>
      <w:r w:rsidRPr="004536E6">
        <w:t>:</w:t>
      </w:r>
    </w:p>
    <w:p w14:paraId="4D1C104B" w14:textId="66667F89" w:rsidR="006B6BF8" w:rsidRPr="006B6BF8" w:rsidRDefault="006B6BF8" w:rsidP="006B6BF8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Pre-demolition screening procedure, CDW Quality Assessment, LCA tool, Material passport/ databank, Material marketplace</w:t>
      </w:r>
    </w:p>
    <w:p w14:paraId="5C01A582" w14:textId="77777777" w:rsidR="00EC1FCD" w:rsidRPr="004536E6" w:rsidRDefault="00EC1FCD" w:rsidP="00EC1FCD">
      <w:pPr>
        <w:pStyle w:val="Boldtextstyle"/>
        <w:ind w:left="0"/>
      </w:pPr>
      <w:r w:rsidRPr="004536E6">
        <w:t>Target user:</w:t>
      </w:r>
    </w:p>
    <w:p w14:paraId="463762D7" w14:textId="77777777" w:rsidR="00EC1FCD" w:rsidRPr="004536E6" w:rsidRDefault="00EC1FCD" w:rsidP="00EC1FCD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536E6">
        <w:rPr>
          <w:rFonts w:ascii="Arial" w:hAnsi="Arial" w:cs="Arial"/>
          <w:color w:val="000000"/>
          <w:sz w:val="22"/>
          <w:szCs w:val="22"/>
        </w:rPr>
        <w:t>Local governments - (e.g. departments of buildings &amp; infrastructure, environment, urban development, procurement)</w:t>
      </w:r>
    </w:p>
    <w:p w14:paraId="55D79A2F" w14:textId="77777777" w:rsidR="00EC1FCD" w:rsidRPr="004536E6" w:rsidRDefault="00EC1FCD" w:rsidP="00EC1FCD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536E6">
        <w:rPr>
          <w:rFonts w:ascii="Arial" w:hAnsi="Arial" w:cs="Arial"/>
          <w:color w:val="000000"/>
          <w:sz w:val="22"/>
          <w:szCs w:val="22"/>
        </w:rPr>
        <w:t>Businesses - (e.g. demolition contractors, building owners)</w:t>
      </w:r>
    </w:p>
    <w:p w14:paraId="4B42F33C" w14:textId="77777777" w:rsidR="00EC1FCD" w:rsidRPr="004536E6" w:rsidRDefault="00EC1FCD" w:rsidP="00EC1FCD">
      <w:pPr>
        <w:pStyle w:val="Boldtextstyle"/>
        <w:ind w:left="0"/>
      </w:pPr>
      <w:r w:rsidRPr="004536E6">
        <w:t>Format:</w:t>
      </w:r>
    </w:p>
    <w:p w14:paraId="5370D778" w14:textId="1A178D8E" w:rsidR="006B6BF8" w:rsidRPr="006B6BF8" w:rsidRDefault="006B6BF8" w:rsidP="006B6BF8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B6BF8">
        <w:rPr>
          <w:rFonts w:ascii="Arial" w:hAnsi="Arial" w:cs="Arial"/>
          <w:color w:val="000000"/>
          <w:sz w:val="22"/>
          <w:szCs w:val="22"/>
        </w:rPr>
        <w:t xml:space="preserve">Guide on </w:t>
      </w:r>
      <w:r>
        <w:rPr>
          <w:rFonts w:ascii="Arial" w:hAnsi="Arial" w:cs="Arial"/>
          <w:color w:val="000000"/>
          <w:sz w:val="22"/>
          <w:szCs w:val="22"/>
        </w:rPr>
        <w:t>selective demolition</w:t>
      </w:r>
      <w:r w:rsidRPr="006B6BF8">
        <w:rPr>
          <w:rFonts w:ascii="Arial" w:hAnsi="Arial" w:cs="Arial"/>
          <w:color w:val="000000"/>
          <w:sz w:val="22"/>
          <w:szCs w:val="22"/>
        </w:rPr>
        <w:t xml:space="preserve"> procedure (document in English)</w:t>
      </w:r>
    </w:p>
    <w:p w14:paraId="5A43103F" w14:textId="77777777" w:rsidR="003715E8" w:rsidRPr="003715E8" w:rsidRDefault="003715E8" w:rsidP="003715E8">
      <w:pPr>
        <w:pStyle w:val="Heading3"/>
        <w:numPr>
          <w:ilvl w:val="0"/>
          <w:numId w:val="0"/>
        </w:numPr>
        <w:ind w:left="1224" w:hanging="1224"/>
      </w:pPr>
      <w:r w:rsidRPr="003715E8">
        <w:t xml:space="preserve">Deployment </w:t>
      </w:r>
    </w:p>
    <w:p w14:paraId="149FA40F" w14:textId="76707158" w:rsidR="00E27711" w:rsidRDefault="006648DE" w:rsidP="00E27711">
      <w:pPr>
        <w:tabs>
          <w:tab w:val="left" w:pos="2135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CityLoops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the pre-demolition screening and selective demolition procedure </w:t>
      </w:r>
      <w:proofErr w:type="gramStart"/>
      <w:r>
        <w:rPr>
          <w:rFonts w:ascii="Arial" w:hAnsi="Arial" w:cs="Arial"/>
          <w:sz w:val="22"/>
          <w:szCs w:val="22"/>
          <w:lang w:val="en-US"/>
        </w:rPr>
        <w:t>will be used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in several pilots:</w:t>
      </w:r>
    </w:p>
    <w:p w14:paraId="39C8C1A7" w14:textId="4CCEA3BB" w:rsidR="006648DE" w:rsidRDefault="006648DE" w:rsidP="006648DE">
      <w:pPr>
        <w:pStyle w:val="ListParagraph"/>
        <w:numPr>
          <w:ilvl w:val="0"/>
          <w:numId w:val="17"/>
        </w:numPr>
        <w:tabs>
          <w:tab w:val="left" w:pos="2135"/>
        </w:tabs>
        <w:spacing w:before="60"/>
        <w:ind w:left="714" w:hanging="357"/>
        <w:contextualSpacing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In </w:t>
      </w:r>
      <w:hyperlink r:id="rId8" w:history="1">
        <w:r w:rsidRPr="006648DE">
          <w:rPr>
            <w:rStyle w:val="Hyperlink"/>
            <w:rFonts w:ascii="Arial" w:hAnsi="Arial" w:cs="Arial"/>
            <w:b/>
            <w:color w:val="1F497D" w:themeColor="text2"/>
            <w:sz w:val="22"/>
            <w:szCs w:val="22"/>
            <w:lang w:val="en-US"/>
          </w:rPr>
          <w:t>Roskilde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, on the Hall 12 building of the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Musicon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development</w:t>
      </w:r>
    </w:p>
    <w:p w14:paraId="63FBA3CC" w14:textId="25E33BDF" w:rsidR="006648DE" w:rsidRDefault="006648DE" w:rsidP="006648DE">
      <w:pPr>
        <w:pStyle w:val="ListParagraph"/>
        <w:numPr>
          <w:ilvl w:val="0"/>
          <w:numId w:val="17"/>
        </w:numPr>
        <w:tabs>
          <w:tab w:val="left" w:pos="2135"/>
        </w:tabs>
        <w:spacing w:before="60"/>
        <w:ind w:left="714" w:hanging="357"/>
        <w:contextualSpacing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In </w:t>
      </w:r>
      <w:hyperlink r:id="rId9" w:history="1">
        <w:proofErr w:type="spellStart"/>
        <w:r w:rsidRPr="006648DE">
          <w:rPr>
            <w:rStyle w:val="Hyperlink"/>
            <w:rFonts w:ascii="Arial" w:hAnsi="Arial" w:cs="Arial"/>
            <w:b/>
            <w:color w:val="1F497D" w:themeColor="text2"/>
            <w:sz w:val="22"/>
            <w:szCs w:val="22"/>
            <w:lang w:val="en-US"/>
          </w:rPr>
          <w:t>Mikkeli</w:t>
        </w:r>
        <w:proofErr w:type="spellEnd"/>
      </w:hyperlink>
      <w:r>
        <w:rPr>
          <w:rFonts w:ascii="Arial" w:hAnsi="Arial" w:cs="Arial"/>
          <w:sz w:val="22"/>
          <w:szCs w:val="22"/>
          <w:lang w:val="en-US"/>
        </w:rPr>
        <w:t xml:space="preserve">, on the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Pankalaampi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building</w:t>
      </w:r>
    </w:p>
    <w:p w14:paraId="7D28DF54" w14:textId="67CBF473" w:rsidR="006648DE" w:rsidRDefault="006648DE" w:rsidP="006648DE">
      <w:pPr>
        <w:pStyle w:val="ListParagraph"/>
        <w:numPr>
          <w:ilvl w:val="0"/>
          <w:numId w:val="17"/>
        </w:numPr>
        <w:tabs>
          <w:tab w:val="left" w:pos="2135"/>
        </w:tabs>
        <w:spacing w:before="60"/>
        <w:ind w:left="714" w:hanging="357"/>
        <w:contextualSpacing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In </w:t>
      </w:r>
      <w:hyperlink r:id="rId10" w:history="1">
        <w:proofErr w:type="spellStart"/>
        <w:r w:rsidRPr="006648DE">
          <w:rPr>
            <w:rStyle w:val="Hyperlink"/>
            <w:rFonts w:ascii="Arial" w:hAnsi="Arial" w:cs="Arial"/>
            <w:b/>
            <w:color w:val="1F497D" w:themeColor="text2"/>
            <w:sz w:val="22"/>
            <w:szCs w:val="22"/>
            <w:lang w:val="en-US"/>
          </w:rPr>
          <w:t>Høje-Taastrup</w:t>
        </w:r>
        <w:proofErr w:type="spellEnd"/>
      </w:hyperlink>
      <w:r>
        <w:rPr>
          <w:rFonts w:ascii="Arial" w:hAnsi="Arial" w:cs="Arial"/>
          <w:sz w:val="22"/>
          <w:szCs w:val="22"/>
          <w:lang w:val="en-US"/>
        </w:rPr>
        <w:t>, on the old city hall</w:t>
      </w:r>
    </w:p>
    <w:p w14:paraId="13533C22" w14:textId="0DBAF486" w:rsidR="003715E8" w:rsidRPr="006648DE" w:rsidRDefault="006648DE" w:rsidP="006648DE">
      <w:pPr>
        <w:pStyle w:val="ListParagraph"/>
        <w:numPr>
          <w:ilvl w:val="0"/>
          <w:numId w:val="17"/>
        </w:numPr>
        <w:tabs>
          <w:tab w:val="left" w:pos="2135"/>
        </w:tabs>
        <w:spacing w:before="60"/>
        <w:ind w:left="714" w:hanging="357"/>
        <w:contextualSpacing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In </w:t>
      </w:r>
      <w:hyperlink r:id="rId11" w:history="1">
        <w:proofErr w:type="spellStart"/>
        <w:r w:rsidRPr="006648DE">
          <w:rPr>
            <w:rStyle w:val="Hyperlink"/>
            <w:rFonts w:ascii="Arial" w:hAnsi="Arial" w:cs="Arial"/>
            <w:b/>
            <w:color w:val="1F497D" w:themeColor="text2"/>
            <w:sz w:val="22"/>
            <w:szCs w:val="22"/>
            <w:lang w:val="en-US"/>
          </w:rPr>
          <w:t>Bodø</w:t>
        </w:r>
        <w:proofErr w:type="spellEnd"/>
      </w:hyperlink>
      <w:r>
        <w:rPr>
          <w:rFonts w:ascii="Arial" w:hAnsi="Arial" w:cs="Arial"/>
          <w:sz w:val="22"/>
          <w:szCs w:val="22"/>
          <w:lang w:val="en-US"/>
        </w:rPr>
        <w:t>, on selected structures in the area of the old military airport</w:t>
      </w:r>
    </w:p>
    <w:p w14:paraId="1674857A" w14:textId="12CCDC26" w:rsidR="003715E8" w:rsidRPr="003715E8" w:rsidRDefault="003715E8" w:rsidP="003715E8">
      <w:pPr>
        <w:tabs>
          <w:tab w:val="left" w:pos="213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726473E1" w14:textId="77777777" w:rsidR="003715E8" w:rsidRPr="009A77F5" w:rsidRDefault="003715E8" w:rsidP="003715E8">
      <w:pPr>
        <w:pStyle w:val="Heading3"/>
        <w:numPr>
          <w:ilvl w:val="0"/>
          <w:numId w:val="0"/>
        </w:numPr>
        <w:ind w:left="1224" w:hanging="1224"/>
      </w:pPr>
      <w:r w:rsidRPr="009A77F5">
        <w:lastRenderedPageBreak/>
        <w:t>Development</w:t>
      </w:r>
    </w:p>
    <w:p w14:paraId="14145326" w14:textId="234AF789" w:rsidR="003715E8" w:rsidRPr="009A77F5" w:rsidRDefault="009A77F5" w:rsidP="009A77F5">
      <w:pPr>
        <w:tabs>
          <w:tab w:val="left" w:pos="2135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pre-demolition screening procedure builds upon the </w:t>
      </w:r>
      <w:r w:rsidR="006A1CF5" w:rsidRPr="009A77F5">
        <w:rPr>
          <w:rFonts w:ascii="Arial" w:hAnsi="Arial" w:cs="Arial"/>
          <w:sz w:val="22"/>
          <w:szCs w:val="22"/>
          <w:lang w:val="en-US"/>
        </w:rPr>
        <w:t xml:space="preserve">EU Guidance </w:t>
      </w:r>
      <w:r>
        <w:rPr>
          <w:rFonts w:ascii="Arial" w:hAnsi="Arial" w:cs="Arial"/>
          <w:sz w:val="22"/>
          <w:szCs w:val="22"/>
          <w:lang w:val="en-US"/>
        </w:rPr>
        <w:t>for P</w:t>
      </w:r>
      <w:r w:rsidR="006A1CF5" w:rsidRPr="009A77F5">
        <w:rPr>
          <w:rFonts w:ascii="Arial" w:hAnsi="Arial" w:cs="Arial"/>
          <w:sz w:val="22"/>
          <w:szCs w:val="22"/>
          <w:lang w:val="en-US"/>
        </w:rPr>
        <w:t xml:space="preserve">re-demolition </w:t>
      </w:r>
      <w:proofErr w:type="gramStart"/>
      <w:r>
        <w:rPr>
          <w:rFonts w:ascii="Arial" w:hAnsi="Arial" w:cs="Arial"/>
          <w:sz w:val="22"/>
          <w:szCs w:val="22"/>
          <w:lang w:val="en-US"/>
        </w:rPr>
        <w:t>A</w:t>
      </w:r>
      <w:r w:rsidR="006A1CF5" w:rsidRPr="009A77F5">
        <w:rPr>
          <w:rFonts w:ascii="Arial" w:hAnsi="Arial" w:cs="Arial"/>
          <w:sz w:val="22"/>
          <w:szCs w:val="22"/>
          <w:lang w:val="en-US"/>
        </w:rPr>
        <w:t>udit</w:t>
      </w:r>
      <w:r>
        <w:rPr>
          <w:rFonts w:ascii="Arial" w:hAnsi="Arial" w:cs="Arial"/>
          <w:sz w:val="22"/>
          <w:szCs w:val="22"/>
          <w:lang w:val="en-US"/>
        </w:rPr>
        <w:t>s</w:t>
      </w:r>
      <w:r w:rsidR="006A1CF5" w:rsidRPr="009A77F5">
        <w:rPr>
          <w:rFonts w:ascii="Arial" w:hAnsi="Arial" w:cs="Arial"/>
          <w:sz w:val="22"/>
          <w:szCs w:val="22"/>
          <w:lang w:val="en-US"/>
        </w:rPr>
        <w:t>,</w:t>
      </w:r>
      <w:proofErr w:type="gramEnd"/>
      <w:r w:rsidR="006A1CF5" w:rsidRPr="009A77F5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and the </w:t>
      </w:r>
      <w:r w:rsidR="006A1CF5" w:rsidRPr="009A77F5">
        <w:rPr>
          <w:rFonts w:ascii="Arial" w:hAnsi="Arial" w:cs="Arial"/>
          <w:sz w:val="22"/>
          <w:szCs w:val="22"/>
          <w:lang w:val="en-US"/>
        </w:rPr>
        <w:t xml:space="preserve">Finnish Ministry of Environment Guide on </w:t>
      </w:r>
      <w:r>
        <w:rPr>
          <w:rFonts w:ascii="Arial" w:hAnsi="Arial" w:cs="Arial"/>
          <w:sz w:val="22"/>
          <w:szCs w:val="22"/>
          <w:lang w:val="en-US"/>
        </w:rPr>
        <w:t>P</w:t>
      </w:r>
      <w:r w:rsidR="006A1CF5" w:rsidRPr="009A77F5">
        <w:rPr>
          <w:rFonts w:ascii="Arial" w:hAnsi="Arial" w:cs="Arial"/>
          <w:sz w:val="22"/>
          <w:szCs w:val="22"/>
          <w:lang w:val="en-US"/>
        </w:rPr>
        <w:t xml:space="preserve">re-demolition </w:t>
      </w:r>
      <w:r>
        <w:rPr>
          <w:rFonts w:ascii="Arial" w:hAnsi="Arial" w:cs="Arial"/>
          <w:sz w:val="22"/>
          <w:szCs w:val="22"/>
          <w:lang w:val="en-US"/>
        </w:rPr>
        <w:t>A</w:t>
      </w:r>
      <w:r w:rsidR="006A1CF5" w:rsidRPr="009A77F5">
        <w:rPr>
          <w:rFonts w:ascii="Arial" w:hAnsi="Arial" w:cs="Arial"/>
          <w:sz w:val="22"/>
          <w:szCs w:val="22"/>
          <w:lang w:val="en-US"/>
        </w:rPr>
        <w:t>udit</w:t>
      </w:r>
      <w:r>
        <w:rPr>
          <w:rFonts w:ascii="Arial" w:hAnsi="Arial" w:cs="Arial"/>
          <w:sz w:val="22"/>
          <w:szCs w:val="22"/>
          <w:lang w:val="en-US"/>
        </w:rPr>
        <w:t xml:space="preserve">s. In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CityLoops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Finnish and Danish partners with industry experience exchanged to develop the guidance. </w:t>
      </w:r>
    </w:p>
    <w:p w14:paraId="058D091B" w14:textId="77777777" w:rsidR="003715E8" w:rsidRPr="00EC1FCD" w:rsidRDefault="003715E8" w:rsidP="003715E8">
      <w:pPr>
        <w:pStyle w:val="ListParagraph"/>
        <w:tabs>
          <w:tab w:val="left" w:pos="2135"/>
        </w:tabs>
        <w:rPr>
          <w:rFonts w:ascii="Arial" w:hAnsi="Arial" w:cs="Arial"/>
          <w:i/>
          <w:color w:val="FF0000"/>
          <w:sz w:val="22"/>
          <w:szCs w:val="22"/>
          <w:lang w:val="en-US"/>
        </w:rPr>
      </w:pPr>
    </w:p>
    <w:p w14:paraId="440A6749" w14:textId="77777777" w:rsidR="009A77F5" w:rsidRPr="009A77F5" w:rsidRDefault="003715E8" w:rsidP="009A77F5">
      <w:pPr>
        <w:tabs>
          <w:tab w:val="left" w:pos="2135"/>
        </w:tabs>
        <w:spacing w:after="240"/>
        <w:rPr>
          <w:rFonts w:ascii="Arial" w:hAnsi="Arial" w:cs="Arial"/>
          <w:i/>
          <w:sz w:val="22"/>
          <w:szCs w:val="22"/>
          <w:lang w:val="en-US"/>
        </w:rPr>
      </w:pPr>
      <w:r w:rsidRPr="009A77F5">
        <w:rPr>
          <w:rFonts w:ascii="Arial" w:hAnsi="Arial" w:cs="Arial"/>
          <w:b/>
          <w:sz w:val="22"/>
          <w:szCs w:val="22"/>
          <w:lang w:val="en-US"/>
        </w:rPr>
        <w:t>Barriers</w:t>
      </w:r>
      <w:r w:rsidRPr="009A77F5">
        <w:rPr>
          <w:rFonts w:ascii="Arial" w:hAnsi="Arial" w:cs="Arial"/>
          <w:sz w:val="22"/>
          <w:szCs w:val="22"/>
          <w:lang w:val="en-US"/>
        </w:rPr>
        <w:t xml:space="preserve">: </w:t>
      </w:r>
    </w:p>
    <w:p w14:paraId="4068424E" w14:textId="19C0520B" w:rsidR="003715E8" w:rsidRDefault="00781AD0" w:rsidP="009A77F5">
      <w:pPr>
        <w:tabs>
          <w:tab w:val="left" w:pos="2135"/>
        </w:tabs>
        <w:rPr>
          <w:rFonts w:ascii="Arial" w:hAnsi="Arial" w:cs="Arial"/>
          <w:i/>
          <w:sz w:val="22"/>
          <w:szCs w:val="22"/>
          <w:lang w:val="en-US"/>
        </w:rPr>
      </w:pPr>
      <w:r w:rsidRPr="009A77F5">
        <w:rPr>
          <w:rFonts w:ascii="Arial" w:hAnsi="Arial" w:cs="Arial"/>
          <w:sz w:val="22"/>
          <w:szCs w:val="22"/>
          <w:lang w:val="en-US"/>
        </w:rPr>
        <w:t>S</w:t>
      </w:r>
      <w:r w:rsidR="006A1CF5" w:rsidRPr="009A77F5">
        <w:rPr>
          <w:rFonts w:ascii="Arial" w:hAnsi="Arial" w:cs="Arial"/>
          <w:sz w:val="22"/>
          <w:szCs w:val="22"/>
          <w:lang w:val="en-US"/>
        </w:rPr>
        <w:t xml:space="preserve">elective demolition </w:t>
      </w:r>
      <w:r w:rsidRPr="009A77F5">
        <w:rPr>
          <w:rFonts w:ascii="Arial" w:hAnsi="Arial" w:cs="Arial"/>
          <w:sz w:val="22"/>
          <w:szCs w:val="22"/>
          <w:lang w:val="en-US"/>
        </w:rPr>
        <w:t xml:space="preserve">can be significantly </w:t>
      </w:r>
      <w:r w:rsidR="006A1CF5" w:rsidRPr="009A77F5">
        <w:rPr>
          <w:rFonts w:ascii="Arial" w:hAnsi="Arial" w:cs="Arial"/>
          <w:sz w:val="22"/>
          <w:szCs w:val="22"/>
          <w:lang w:val="en-US"/>
        </w:rPr>
        <w:t>more expensive than traditional demolition</w:t>
      </w:r>
      <w:r w:rsidR="00E27711" w:rsidRPr="009A77F5">
        <w:rPr>
          <w:rFonts w:ascii="Arial" w:hAnsi="Arial" w:cs="Arial"/>
          <w:sz w:val="22"/>
          <w:szCs w:val="22"/>
          <w:lang w:val="en-US"/>
        </w:rPr>
        <w:t xml:space="preserve"> </w:t>
      </w:r>
      <w:r w:rsidR="006A1CF5" w:rsidRPr="009A77F5">
        <w:rPr>
          <w:rFonts w:ascii="Arial" w:hAnsi="Arial" w:cs="Arial"/>
          <w:sz w:val="22"/>
          <w:szCs w:val="22"/>
          <w:lang w:val="en-US"/>
        </w:rPr>
        <w:t xml:space="preserve">– </w:t>
      </w:r>
      <w:r w:rsidRPr="009A77F5">
        <w:rPr>
          <w:rFonts w:ascii="Arial" w:hAnsi="Arial" w:cs="Arial"/>
          <w:sz w:val="22"/>
          <w:szCs w:val="22"/>
          <w:lang w:val="en-US"/>
        </w:rPr>
        <w:t xml:space="preserve">however, </w:t>
      </w:r>
      <w:r w:rsidR="006A1CF5" w:rsidRPr="009A77F5">
        <w:rPr>
          <w:rFonts w:ascii="Arial" w:hAnsi="Arial" w:cs="Arial"/>
          <w:sz w:val="22"/>
          <w:szCs w:val="22"/>
          <w:lang w:val="en-US"/>
        </w:rPr>
        <w:t xml:space="preserve">the cost savings are in waste management and material recovery. </w:t>
      </w:r>
      <w:r w:rsidRPr="009A77F5">
        <w:rPr>
          <w:rFonts w:ascii="Arial" w:hAnsi="Arial" w:cs="Arial"/>
          <w:sz w:val="22"/>
          <w:szCs w:val="22"/>
          <w:lang w:val="en-US"/>
        </w:rPr>
        <w:t>Financial and management models should account for the redistribution of costs and savings accordingly.</w:t>
      </w:r>
      <w:r w:rsidR="006A1CF5" w:rsidRPr="009A77F5"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p w14:paraId="7E31D4B3" w14:textId="7FF77E90" w:rsidR="0041735A" w:rsidRPr="006648DE" w:rsidRDefault="009A77F5" w:rsidP="006648DE">
      <w:pPr>
        <w:tabs>
          <w:tab w:val="left" w:pos="2135"/>
        </w:tabs>
        <w:spacing w:before="240"/>
        <w:rPr>
          <w:rFonts w:ascii="Arial" w:hAnsi="Arial" w:cs="Arial"/>
          <w:color w:val="FF000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It is important that the screening and selective demolition both </w:t>
      </w:r>
      <w:proofErr w:type="gramStart"/>
      <w:r>
        <w:rPr>
          <w:rFonts w:ascii="Arial" w:hAnsi="Arial" w:cs="Arial"/>
          <w:sz w:val="22"/>
          <w:szCs w:val="22"/>
          <w:lang w:val="en-US"/>
        </w:rPr>
        <w:t>be planned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for well in advance, and are incorporated into the tendering approach. Once contracted, contractors will not voluntarily carry out the screening – so any foreseen use should be </w:t>
      </w:r>
      <w:r w:rsidR="006648DE">
        <w:rPr>
          <w:rFonts w:ascii="Arial" w:hAnsi="Arial" w:cs="Arial"/>
          <w:sz w:val="22"/>
          <w:szCs w:val="22"/>
          <w:lang w:val="en-US"/>
        </w:rPr>
        <w:t xml:space="preserve">clearly intended in the </w:t>
      </w:r>
      <w:proofErr w:type="gramStart"/>
      <w:r w:rsidR="006648DE">
        <w:rPr>
          <w:rFonts w:ascii="Arial" w:hAnsi="Arial" w:cs="Arial"/>
          <w:sz w:val="22"/>
          <w:szCs w:val="22"/>
          <w:lang w:val="en-US"/>
        </w:rPr>
        <w:t>demolition planning</w:t>
      </w:r>
      <w:proofErr w:type="gramEnd"/>
      <w:r w:rsidR="006648DE">
        <w:rPr>
          <w:rFonts w:ascii="Arial" w:hAnsi="Arial" w:cs="Arial"/>
          <w:sz w:val="22"/>
          <w:szCs w:val="22"/>
          <w:lang w:val="en-US"/>
        </w:rPr>
        <w:t xml:space="preserve"> phase.</w:t>
      </w:r>
    </w:p>
    <w:p w14:paraId="31F4922D" w14:textId="77777777" w:rsidR="009A77F5" w:rsidRPr="003715E8" w:rsidRDefault="009A77F5" w:rsidP="009A77F5">
      <w:pPr>
        <w:pStyle w:val="Heading3"/>
        <w:numPr>
          <w:ilvl w:val="0"/>
          <w:numId w:val="0"/>
        </w:numPr>
        <w:ind w:left="1224" w:hanging="1224"/>
      </w:pPr>
      <w:r w:rsidRPr="003715E8">
        <w:t>Replication</w:t>
      </w:r>
    </w:p>
    <w:p w14:paraId="649A9816" w14:textId="0366EC84" w:rsidR="009A77F5" w:rsidRPr="009A77F5" w:rsidRDefault="009A77F5" w:rsidP="009A77F5">
      <w:pPr>
        <w:tabs>
          <w:tab w:val="left" w:pos="2135"/>
        </w:tabs>
        <w:rPr>
          <w:rFonts w:ascii="Arial" w:hAnsi="Arial" w:cs="Arial"/>
          <w:sz w:val="22"/>
          <w:szCs w:val="22"/>
          <w:lang w:val="en-US"/>
        </w:rPr>
      </w:pPr>
      <w:r w:rsidRPr="009A77F5">
        <w:rPr>
          <w:rFonts w:ascii="Arial" w:hAnsi="Arial" w:cs="Arial"/>
          <w:sz w:val="22"/>
          <w:szCs w:val="22"/>
          <w:lang w:val="en-US"/>
        </w:rPr>
        <w:t xml:space="preserve">Anyone interested in following the two procedures can read the guidance documents and follow the steps detailed therein. </w:t>
      </w:r>
      <w:r w:rsidR="006648DE">
        <w:rPr>
          <w:rFonts w:ascii="Arial" w:hAnsi="Arial" w:cs="Arial"/>
          <w:sz w:val="22"/>
          <w:szCs w:val="22"/>
          <w:lang w:val="en-US"/>
        </w:rPr>
        <w:t xml:space="preserve">Screening for hazardous waste is already a requirement, but this procedure also includes screening for salvageable materials and how </w:t>
      </w:r>
      <w:proofErr w:type="gramStart"/>
      <w:r w:rsidR="006648DE">
        <w:rPr>
          <w:rFonts w:ascii="Arial" w:hAnsi="Arial" w:cs="Arial"/>
          <w:sz w:val="22"/>
          <w:szCs w:val="22"/>
          <w:lang w:val="en-US"/>
        </w:rPr>
        <w:t>to selectively disassemble</w:t>
      </w:r>
      <w:proofErr w:type="gramEnd"/>
      <w:r w:rsidR="006648DE">
        <w:rPr>
          <w:rFonts w:ascii="Arial" w:hAnsi="Arial" w:cs="Arial"/>
          <w:sz w:val="22"/>
          <w:szCs w:val="22"/>
          <w:lang w:val="en-US"/>
        </w:rPr>
        <w:t xml:space="preserve"> them, preserving their value and utility for future uses. </w:t>
      </w:r>
    </w:p>
    <w:p w14:paraId="624E9198" w14:textId="5B2350E5" w:rsidR="009A77F5" w:rsidRPr="009A77F5" w:rsidRDefault="009A77F5" w:rsidP="009A77F5">
      <w:pPr>
        <w:pStyle w:val="Heading3"/>
        <w:numPr>
          <w:ilvl w:val="0"/>
          <w:numId w:val="0"/>
        </w:numPr>
        <w:ind w:left="1224" w:hanging="1224"/>
      </w:pPr>
      <w:r w:rsidRPr="009A77F5">
        <w:t>Developed by</w:t>
      </w:r>
    </w:p>
    <w:p w14:paraId="2A90F5D9" w14:textId="459438A9" w:rsidR="00EC1FCD" w:rsidRPr="009A77F5" w:rsidRDefault="00EC1FCD" w:rsidP="009A77F5">
      <w:pPr>
        <w:pStyle w:val="Normaltext"/>
        <w:spacing w:after="0"/>
        <w:ind w:firstLine="708"/>
        <w:rPr>
          <w:rStyle w:val="NormaltextboxChar"/>
          <w:color w:val="auto"/>
        </w:rPr>
      </w:pPr>
      <w:r w:rsidRPr="009A77F5">
        <w:rPr>
          <w:rStyle w:val="NormaltextboxChar"/>
          <w:color w:val="auto"/>
        </w:rPr>
        <w:t xml:space="preserve">Capital Region of Denmark, City of </w:t>
      </w:r>
      <w:proofErr w:type="spellStart"/>
      <w:r w:rsidRPr="009A77F5">
        <w:rPr>
          <w:rStyle w:val="NormaltextboxChar"/>
          <w:color w:val="auto"/>
        </w:rPr>
        <w:t>Mikkeli</w:t>
      </w:r>
      <w:proofErr w:type="spellEnd"/>
      <w:r w:rsidRPr="009A77F5">
        <w:rPr>
          <w:rStyle w:val="NormaltextboxChar"/>
          <w:color w:val="auto"/>
        </w:rPr>
        <w:t xml:space="preserve"> &amp; South Eastern Finland University (XAMK)</w:t>
      </w:r>
    </w:p>
    <w:p w14:paraId="782B0B50" w14:textId="6E5E470F" w:rsidR="0041735A" w:rsidRPr="009A77F5" w:rsidRDefault="00EC1FCD" w:rsidP="009A77F5">
      <w:pPr>
        <w:pStyle w:val="Normaltext"/>
        <w:ind w:firstLine="708"/>
        <w:rPr>
          <w:rFonts w:eastAsiaTheme="minorHAnsi" w:cstheme="minorBidi"/>
          <w:lang w:eastAsia="en-US"/>
        </w:rPr>
      </w:pPr>
      <w:r w:rsidRPr="009A77F5">
        <w:rPr>
          <w:rStyle w:val="NormaltextboxChar"/>
          <w:color w:val="auto"/>
        </w:rPr>
        <w:t xml:space="preserve">Contact: Erik </w:t>
      </w:r>
      <w:proofErr w:type="spellStart"/>
      <w:r w:rsidRPr="009A77F5">
        <w:rPr>
          <w:rStyle w:val="NormaltextboxChar"/>
          <w:color w:val="auto"/>
        </w:rPr>
        <w:t>Lauritzen</w:t>
      </w:r>
      <w:proofErr w:type="spellEnd"/>
      <w:r w:rsidRPr="009A77F5">
        <w:rPr>
          <w:rStyle w:val="NormaltextboxChar"/>
          <w:color w:val="auto"/>
        </w:rPr>
        <w:t>, erik.krogh.lauritzen@regionh.dk</w:t>
      </w:r>
    </w:p>
    <w:p w14:paraId="2B51D56B" w14:textId="55035849" w:rsidR="003715E8" w:rsidRPr="003715E8" w:rsidRDefault="003715E8" w:rsidP="003715E8">
      <w:pPr>
        <w:tabs>
          <w:tab w:val="left" w:pos="2135"/>
        </w:tabs>
        <w:rPr>
          <w:rFonts w:ascii="Arial" w:hAnsi="Arial" w:cs="Arial"/>
          <w:i/>
          <w:sz w:val="22"/>
          <w:szCs w:val="22"/>
          <w:lang w:val="en-US"/>
        </w:rPr>
      </w:pPr>
    </w:p>
    <w:p w14:paraId="7D752429" w14:textId="4497A60C" w:rsidR="00A37555" w:rsidRPr="00EA4DEE" w:rsidRDefault="00E27711" w:rsidP="00EA4DEE">
      <w:pPr>
        <w:tabs>
          <w:tab w:val="left" w:pos="2135"/>
        </w:tabs>
      </w:pPr>
      <w:r>
        <w:rPr>
          <w:noProof/>
        </w:rPr>
        <w:drawing>
          <wp:inline distT="0" distB="0" distL="0" distR="0" wp14:anchorId="08C9F327" wp14:editId="19896A52">
            <wp:extent cx="6336030" cy="2651760"/>
            <wp:effectExtent l="0" t="0" r="762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7555" w:rsidRPr="00EA4DEE" w:rsidSect="000F37A5">
      <w:headerReference w:type="default" r:id="rId13"/>
      <w:footerReference w:type="default" r:id="rId14"/>
      <w:pgSz w:w="11906" w:h="16838"/>
      <w:pgMar w:top="2386" w:right="964" w:bottom="1135" w:left="96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446A0" w14:textId="77777777" w:rsidR="00B63D42" w:rsidRDefault="00B63D42" w:rsidP="001921ED">
      <w:r>
        <w:separator/>
      </w:r>
    </w:p>
  </w:endnote>
  <w:endnote w:type="continuationSeparator" w:id="0">
    <w:p w14:paraId="085E7151" w14:textId="77777777" w:rsidR="00B63D42" w:rsidRDefault="00B63D42" w:rsidP="0019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alaSansPro">
    <w:altName w:val="Yu Gothic"/>
    <w:charset w:val="80"/>
    <w:family w:val="swiss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A40A6" w14:textId="77777777" w:rsidR="00BA364C" w:rsidRDefault="00BA364C" w:rsidP="00B93408">
    <w:pPr>
      <w:pStyle w:val="UWFooter"/>
    </w:pPr>
  </w:p>
  <w:p w14:paraId="317EE3E4" w14:textId="77777777" w:rsidR="00BA364C" w:rsidRDefault="000F37A5" w:rsidP="000F37A5">
    <w:pPr>
      <w:pStyle w:val="UWFooter"/>
      <w:tabs>
        <w:tab w:val="left" w:pos="495"/>
      </w:tabs>
      <w:jc w:val="left"/>
    </w:pPr>
    <w:r>
      <w:tab/>
    </w:r>
  </w:p>
  <w:p w14:paraId="6BF97585" w14:textId="77777777" w:rsidR="00BA364C" w:rsidRPr="00BA72F5" w:rsidRDefault="000F37A5" w:rsidP="000F37A5">
    <w:pPr>
      <w:pStyle w:val="UWFooter"/>
      <w:tabs>
        <w:tab w:val="left" w:pos="5895"/>
        <w:tab w:val="right" w:pos="9978"/>
      </w:tabs>
      <w:spacing w:beforeLines="20" w:before="48" w:after="40" w:line="240" w:lineRule="auto"/>
      <w:jc w:val="left"/>
      <w:rPr>
        <w:b w:val="0"/>
      </w:rPr>
    </w:pPr>
    <w:r>
      <w:rPr>
        <w:lang w:val="de-DE" w:eastAsia="de-DE"/>
      </w:rPr>
      <w:drawing>
        <wp:inline distT="0" distB="0" distL="0" distR="0" wp14:anchorId="02DC7F49" wp14:editId="600BB3BD">
          <wp:extent cx="6336030" cy="504825"/>
          <wp:effectExtent l="0" t="0" r="7620" b="9525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 FUNDING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03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5592">
      <w:tab/>
    </w:r>
    <w:r w:rsidR="007D5592">
      <w:tab/>
    </w:r>
    <w:r w:rsidR="00BA364C" w:rsidRPr="003160FE">
      <w:t xml:space="preserve"> </w:t>
    </w:r>
  </w:p>
  <w:p w14:paraId="5C1E6B65" w14:textId="77777777" w:rsidR="00BA364C" w:rsidRPr="001B1704" w:rsidRDefault="00BA364C" w:rsidP="007D5592">
    <w:pPr>
      <w:pStyle w:val="Footer"/>
      <w:spacing w:after="40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C17CD" w14:textId="77777777" w:rsidR="00B63D42" w:rsidRDefault="00B63D42" w:rsidP="001921ED">
      <w:r>
        <w:separator/>
      </w:r>
    </w:p>
  </w:footnote>
  <w:footnote w:type="continuationSeparator" w:id="0">
    <w:p w14:paraId="39C160F4" w14:textId="77777777" w:rsidR="00B63D42" w:rsidRDefault="00B63D42" w:rsidP="00192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5CCCF" w14:textId="0FE96966" w:rsidR="000F37A5" w:rsidRDefault="000F37A5" w:rsidP="000F37A5">
    <w:pPr>
      <w:pStyle w:val="UWFooter"/>
      <w:tabs>
        <w:tab w:val="left" w:pos="5895"/>
        <w:tab w:val="right" w:pos="9978"/>
      </w:tabs>
      <w:spacing w:beforeLines="20" w:before="48" w:after="40" w:line="240" w:lineRule="auto"/>
    </w:pPr>
    <w:r>
      <w:rPr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1F160B" wp14:editId="529D97FC">
              <wp:simplePos x="0" y="0"/>
              <wp:positionH relativeFrom="column">
                <wp:posOffset>-164465</wp:posOffset>
              </wp:positionH>
              <wp:positionV relativeFrom="paragraph">
                <wp:posOffset>-182880</wp:posOffset>
              </wp:positionV>
              <wp:extent cx="2886075" cy="1148715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1148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B378C" w14:textId="77777777" w:rsidR="00BA364C" w:rsidRPr="00A37555" w:rsidRDefault="00BA364C" w:rsidP="000F37A5">
                          <w:pPr>
                            <w:ind w:left="284"/>
                            <w:rPr>
                              <w:b/>
                            </w:rPr>
                          </w:pPr>
                          <w:r w:rsidRPr="00A37555"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255B247C" wp14:editId="34937660">
                                <wp:extent cx="1704975" cy="960572"/>
                                <wp:effectExtent l="0" t="0" r="0" b="0"/>
                                <wp:docPr id="37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urbanwins_rgb_web_claim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4719" cy="96606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1F16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2.95pt;margin-top:-14.4pt;width:227.25pt;height:90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swLswIAALo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" filled="f" stroked="f">
              <v:textbox style="mso-fit-shape-to-text:t">
                <w:txbxContent>
                  <w:p w14:paraId="3BFB378C" w14:textId="77777777" w:rsidR="00BA364C" w:rsidRPr="00A37555" w:rsidRDefault="00BA364C" w:rsidP="000F37A5">
                    <w:pPr>
                      <w:ind w:left="284"/>
                      <w:rPr>
                        <w:b/>
                      </w:rPr>
                    </w:pPr>
                    <w:r w:rsidRPr="00A37555">
                      <w:rPr>
                        <w:b/>
                        <w:noProof/>
                        <w:lang w:val="en-GB" w:eastAsia="en-GB"/>
                      </w:rPr>
                      <w:drawing>
                        <wp:inline distT="0" distB="0" distL="0" distR="0" wp14:anchorId="255B247C" wp14:editId="34937660">
                          <wp:extent cx="1704975" cy="960572"/>
                          <wp:effectExtent l="0" t="0" r="0" b="0"/>
                          <wp:docPr id="37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urbanwins_rgb_web_claim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14719" cy="9660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 w:rsidR="00F533C0">
      <w:t>Tool Factsheet</w:t>
    </w:r>
  </w:p>
  <w:p w14:paraId="3E6EFCFD" w14:textId="2ADB1E13" w:rsidR="000F37A5" w:rsidRPr="000F37A5" w:rsidRDefault="000F37A5" w:rsidP="000F37A5">
    <w:pPr>
      <w:pStyle w:val="UWFooter"/>
      <w:tabs>
        <w:tab w:val="left" w:pos="5895"/>
        <w:tab w:val="right" w:pos="9978"/>
      </w:tabs>
      <w:spacing w:beforeLines="20" w:before="48" w:after="40" w:line="240" w:lineRule="auto"/>
      <w:rPr>
        <w:rFonts w:ascii="Arial" w:hAnsi="Arial" w:cs="Arial"/>
        <w:color w:val="00B6ED"/>
      </w:rPr>
    </w:pPr>
    <w:r w:rsidRPr="000F37A5">
      <w:rPr>
        <w:rFonts w:ascii="Arial" w:hAnsi="Arial" w:cs="Arial"/>
        <w:color w:val="004D76"/>
      </w:rPr>
      <w:t xml:space="preserve">For more information: </w:t>
    </w:r>
    <w:r w:rsidRPr="000F37A5">
      <w:rPr>
        <w:rFonts w:ascii="Arial" w:hAnsi="Arial" w:cs="Arial"/>
        <w:b w:val="0"/>
        <w:color w:val="00B6ED"/>
      </w:rPr>
      <w:t>www.ci</w:t>
    </w:r>
    <w:r w:rsidR="009A77F5">
      <w:rPr>
        <w:rFonts w:ascii="Arial" w:hAnsi="Arial" w:cs="Arial"/>
        <w:b w:val="0"/>
        <w:color w:val="00B6ED"/>
      </w:rPr>
      <w:t>tyloops</w:t>
    </w:r>
    <w:r w:rsidRPr="000F37A5">
      <w:rPr>
        <w:rFonts w:ascii="Arial" w:hAnsi="Arial" w:cs="Arial"/>
        <w:b w:val="0"/>
        <w:color w:val="00B6ED"/>
      </w:rPr>
      <w:t>.eu</w:t>
    </w:r>
    <w:r w:rsidRPr="000F37A5">
      <w:rPr>
        <w:rFonts w:ascii="Arial" w:hAnsi="Arial" w:cs="Arial"/>
        <w:color w:val="00B6ED"/>
      </w:rPr>
      <w:t xml:space="preserve"> </w:t>
    </w:r>
  </w:p>
  <w:p w14:paraId="42EC3CF1" w14:textId="77777777" w:rsidR="000F37A5" w:rsidRPr="000F37A5" w:rsidRDefault="000F37A5" w:rsidP="000F37A5">
    <w:pPr>
      <w:pStyle w:val="UWFooter"/>
      <w:tabs>
        <w:tab w:val="right" w:pos="9978"/>
      </w:tabs>
      <w:spacing w:beforeLines="20" w:before="48" w:after="40" w:line="240" w:lineRule="auto"/>
      <w:rPr>
        <w:rFonts w:ascii="Arial" w:hAnsi="Arial" w:cs="Arial"/>
        <w:color w:val="00B6ED"/>
      </w:rPr>
    </w:pPr>
    <w:r w:rsidRPr="000F37A5">
      <w:rPr>
        <w:rFonts w:ascii="Arial" w:hAnsi="Arial" w:cs="Arial"/>
        <w:color w:val="004D76"/>
      </w:rPr>
      <w:t xml:space="preserve">Twitter: </w:t>
    </w:r>
    <w:r w:rsidRPr="000F37A5">
      <w:rPr>
        <w:rFonts w:ascii="Arial" w:hAnsi="Arial" w:cs="Arial"/>
        <w:b w:val="0"/>
        <w:color w:val="00B6ED"/>
      </w:rPr>
      <w:t>@CircularCityEU</w:t>
    </w:r>
  </w:p>
  <w:p w14:paraId="7BEACAE1" w14:textId="77777777" w:rsidR="000F37A5" w:rsidRPr="000F37A5" w:rsidRDefault="000F37A5" w:rsidP="000F37A5">
    <w:pPr>
      <w:pStyle w:val="UWFooter"/>
      <w:tabs>
        <w:tab w:val="left" w:pos="5505"/>
        <w:tab w:val="right" w:pos="9978"/>
      </w:tabs>
      <w:spacing w:beforeLines="20" w:before="48" w:after="40" w:line="240" w:lineRule="auto"/>
      <w:rPr>
        <w:rFonts w:ascii="Arial" w:hAnsi="Arial" w:cs="Arial"/>
        <w:b w:val="0"/>
        <w:color w:val="004D76"/>
      </w:rPr>
    </w:pPr>
    <w:r w:rsidRPr="000F37A5">
      <w:rPr>
        <w:rFonts w:ascii="Arial" w:hAnsi="Arial" w:cs="Arial"/>
        <w:color w:val="004D76"/>
      </w:rPr>
      <w:tab/>
    </w:r>
    <w:r w:rsidRPr="000F37A5">
      <w:rPr>
        <w:rFonts w:ascii="Arial" w:hAnsi="Arial" w:cs="Arial"/>
        <w:color w:val="004D76"/>
      </w:rPr>
      <w:tab/>
      <w:t xml:space="preserve">Join the conversation: </w:t>
    </w:r>
    <w:r w:rsidRPr="000F37A5">
      <w:rPr>
        <w:rFonts w:ascii="Arial" w:hAnsi="Arial" w:cs="Arial"/>
        <w:b w:val="0"/>
        <w:color w:val="00B6ED"/>
      </w:rPr>
      <w:t>#CityLoops</w:t>
    </w:r>
  </w:p>
  <w:p w14:paraId="79761810" w14:textId="77777777" w:rsidR="00BA364C" w:rsidRPr="000F37A5" w:rsidRDefault="00BA364C" w:rsidP="000F37A5">
    <w:pPr>
      <w:pStyle w:val="Header"/>
      <w:tabs>
        <w:tab w:val="clear" w:pos="9072"/>
      </w:tabs>
      <w:ind w:right="-228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8D647B8"/>
    <w:name w:val="Nummerierung 5"/>
    <w:lvl w:ilvl="0">
      <w:start w:val="1"/>
      <w:numFmt w:val="decimal"/>
      <w:pStyle w:val="GLCNNumeration"/>
      <w:lvlText w:val="%1."/>
      <w:lvlJc w:val="left"/>
      <w:pPr>
        <w:ind w:left="1590" w:hanging="360"/>
      </w:p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369"/>
      </w:pPr>
    </w:lvl>
    <w:lvl w:ilvl="2">
      <w:start w:val="3"/>
      <w:numFmt w:val="lowerLetter"/>
      <w:lvlText w:val="%3)"/>
      <w:lvlJc w:val="left"/>
      <w:pPr>
        <w:tabs>
          <w:tab w:val="num" w:pos="1443"/>
        </w:tabs>
        <w:ind w:left="1443" w:hanging="255"/>
      </w:pPr>
    </w:lvl>
    <w:lvl w:ilvl="3">
      <w:start w:val="4"/>
      <w:numFmt w:val="bullet"/>
      <w:lvlText w:val=""/>
      <w:lvlJc w:val="left"/>
      <w:pPr>
        <w:tabs>
          <w:tab w:val="num" w:pos="1698"/>
        </w:tabs>
        <w:ind w:left="1698" w:hanging="224"/>
      </w:pPr>
      <w:rPr>
        <w:rFonts w:ascii="Wingdings 2" w:hAnsi="Wingdings 2"/>
      </w:rPr>
    </w:lvl>
    <w:lvl w:ilvl="4">
      <w:start w:val="5"/>
      <w:numFmt w:val="bullet"/>
      <w:lvlText w:val=""/>
      <w:lvlJc w:val="left"/>
      <w:pPr>
        <w:tabs>
          <w:tab w:val="num" w:pos="1922"/>
        </w:tabs>
        <w:ind w:left="1922" w:hanging="224"/>
      </w:pPr>
      <w:rPr>
        <w:rFonts w:ascii="Wingdings 2" w:hAnsi="Wingdings 2"/>
      </w:rPr>
    </w:lvl>
    <w:lvl w:ilvl="5">
      <w:start w:val="6"/>
      <w:numFmt w:val="bullet"/>
      <w:lvlText w:val=""/>
      <w:lvlJc w:val="left"/>
      <w:pPr>
        <w:tabs>
          <w:tab w:val="num" w:pos="2146"/>
        </w:tabs>
        <w:ind w:left="2146" w:hanging="224"/>
      </w:pPr>
      <w:rPr>
        <w:rFonts w:ascii="Wingdings 2" w:hAnsi="Wingdings 2"/>
      </w:rPr>
    </w:lvl>
    <w:lvl w:ilvl="6">
      <w:start w:val="7"/>
      <w:numFmt w:val="bullet"/>
      <w:lvlText w:val=""/>
      <w:lvlJc w:val="left"/>
      <w:pPr>
        <w:tabs>
          <w:tab w:val="num" w:pos="2370"/>
        </w:tabs>
        <w:ind w:left="2370" w:hanging="224"/>
      </w:pPr>
      <w:rPr>
        <w:rFonts w:ascii="Wingdings 2" w:hAnsi="Wingdings 2"/>
      </w:rPr>
    </w:lvl>
    <w:lvl w:ilvl="7">
      <w:start w:val="8"/>
      <w:numFmt w:val="bullet"/>
      <w:lvlText w:val=""/>
      <w:lvlJc w:val="left"/>
      <w:pPr>
        <w:tabs>
          <w:tab w:val="num" w:pos="2594"/>
        </w:tabs>
        <w:ind w:left="2594" w:hanging="224"/>
      </w:pPr>
      <w:rPr>
        <w:rFonts w:ascii="Wingdings 2" w:hAnsi="Wingdings 2"/>
      </w:rPr>
    </w:lvl>
    <w:lvl w:ilvl="8">
      <w:start w:val="9"/>
      <w:numFmt w:val="bullet"/>
      <w:lvlText w:val=""/>
      <w:lvlJc w:val="left"/>
      <w:pPr>
        <w:tabs>
          <w:tab w:val="num" w:pos="2818"/>
        </w:tabs>
        <w:ind w:left="2818" w:hanging="224"/>
      </w:pPr>
      <w:rPr>
        <w:rFonts w:ascii="Wingdings 2" w:hAnsi="Wingdings 2"/>
      </w:rPr>
    </w:lvl>
  </w:abstractNum>
  <w:abstractNum w:abstractNumId="1" w15:restartNumberingAfterBreak="0">
    <w:nsid w:val="04613188"/>
    <w:multiLevelType w:val="multilevel"/>
    <w:tmpl w:val="B0D0B13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8" w:hanging="1008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314" w:hanging="1224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06372A94"/>
    <w:multiLevelType w:val="hybridMultilevel"/>
    <w:tmpl w:val="614C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40FE0"/>
    <w:multiLevelType w:val="hybridMultilevel"/>
    <w:tmpl w:val="6AB2A166"/>
    <w:lvl w:ilvl="0" w:tplc="50A2E5EC">
      <w:start w:val="1"/>
      <w:numFmt w:val="bullet"/>
      <w:pStyle w:val="Textbox-bullets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532516B"/>
    <w:multiLevelType w:val="hybridMultilevel"/>
    <w:tmpl w:val="5EBCA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80223"/>
    <w:multiLevelType w:val="hybridMultilevel"/>
    <w:tmpl w:val="285CD4E0"/>
    <w:lvl w:ilvl="0" w:tplc="3F96C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70E58"/>
    <w:multiLevelType w:val="hybridMultilevel"/>
    <w:tmpl w:val="DDA81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14563"/>
    <w:multiLevelType w:val="hybridMultilevel"/>
    <w:tmpl w:val="1B6C48FC"/>
    <w:lvl w:ilvl="0" w:tplc="5978C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51E00"/>
    <w:multiLevelType w:val="hybridMultilevel"/>
    <w:tmpl w:val="86B2CFAC"/>
    <w:lvl w:ilvl="0" w:tplc="79BA4DB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32FF0"/>
    <w:multiLevelType w:val="hybridMultilevel"/>
    <w:tmpl w:val="6B6C7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34DBE"/>
    <w:multiLevelType w:val="multilevel"/>
    <w:tmpl w:val="5BA4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DA3A96"/>
    <w:multiLevelType w:val="hybridMultilevel"/>
    <w:tmpl w:val="BA96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97A08"/>
    <w:multiLevelType w:val="hybridMultilevel"/>
    <w:tmpl w:val="EB4E96EC"/>
    <w:lvl w:ilvl="0" w:tplc="5AC0DB3E">
      <w:start w:val="1"/>
      <w:numFmt w:val="bullet"/>
      <w:pStyle w:val="Bulletpointtext-GLCN"/>
      <w:lvlText w:val=""/>
      <w:lvlJc w:val="left"/>
      <w:pPr>
        <w:ind w:left="1950" w:hanging="360"/>
      </w:pPr>
      <w:rPr>
        <w:rFonts w:ascii="Symbol" w:hAnsi="Symbol" w:hint="default"/>
        <w:color w:val="009239"/>
      </w:rPr>
    </w:lvl>
    <w:lvl w:ilvl="1" w:tplc="0407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"/>
  </w:num>
  <w:num w:numId="5">
    <w:abstractNumId w:val="7"/>
  </w:num>
  <w:num w:numId="6">
    <w:abstractNumId w:val="9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  <w:num w:numId="13">
    <w:abstractNumId w:val="11"/>
  </w:num>
  <w:num w:numId="14">
    <w:abstractNumId w:val="8"/>
  </w:num>
  <w:num w:numId="15">
    <w:abstractNumId w:val="10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ED"/>
    <w:rsid w:val="000027D5"/>
    <w:rsid w:val="00031F2C"/>
    <w:rsid w:val="0003415D"/>
    <w:rsid w:val="0003605B"/>
    <w:rsid w:val="0006311A"/>
    <w:rsid w:val="000F37A5"/>
    <w:rsid w:val="001361D5"/>
    <w:rsid w:val="0018331E"/>
    <w:rsid w:val="001921ED"/>
    <w:rsid w:val="001B1704"/>
    <w:rsid w:val="002206A5"/>
    <w:rsid w:val="0024585B"/>
    <w:rsid w:val="00265BB8"/>
    <w:rsid w:val="0030693B"/>
    <w:rsid w:val="003160FE"/>
    <w:rsid w:val="003258DE"/>
    <w:rsid w:val="00332DC6"/>
    <w:rsid w:val="003410B0"/>
    <w:rsid w:val="003715E8"/>
    <w:rsid w:val="0037503C"/>
    <w:rsid w:val="003920CF"/>
    <w:rsid w:val="003A6615"/>
    <w:rsid w:val="003D61E1"/>
    <w:rsid w:val="00403C98"/>
    <w:rsid w:val="0041735A"/>
    <w:rsid w:val="004320C2"/>
    <w:rsid w:val="0044616B"/>
    <w:rsid w:val="004C524E"/>
    <w:rsid w:val="00503A6C"/>
    <w:rsid w:val="00522C31"/>
    <w:rsid w:val="0056098F"/>
    <w:rsid w:val="0059759B"/>
    <w:rsid w:val="005C675A"/>
    <w:rsid w:val="006648DE"/>
    <w:rsid w:val="00666234"/>
    <w:rsid w:val="006A1CF5"/>
    <w:rsid w:val="006A7636"/>
    <w:rsid w:val="006B6AFF"/>
    <w:rsid w:val="006B6BF8"/>
    <w:rsid w:val="006B7D3E"/>
    <w:rsid w:val="006F32BE"/>
    <w:rsid w:val="00781AD0"/>
    <w:rsid w:val="007D5592"/>
    <w:rsid w:val="007D57CF"/>
    <w:rsid w:val="007E5C2C"/>
    <w:rsid w:val="00874CCB"/>
    <w:rsid w:val="00897656"/>
    <w:rsid w:val="008B625E"/>
    <w:rsid w:val="008C22C0"/>
    <w:rsid w:val="008F340E"/>
    <w:rsid w:val="008F40CF"/>
    <w:rsid w:val="00976FC3"/>
    <w:rsid w:val="009A612E"/>
    <w:rsid w:val="009A77F5"/>
    <w:rsid w:val="009B5C6C"/>
    <w:rsid w:val="009D14FE"/>
    <w:rsid w:val="00A37555"/>
    <w:rsid w:val="00A91BF7"/>
    <w:rsid w:val="00AE293A"/>
    <w:rsid w:val="00B352E2"/>
    <w:rsid w:val="00B427C8"/>
    <w:rsid w:val="00B63D42"/>
    <w:rsid w:val="00B72F9F"/>
    <w:rsid w:val="00B93408"/>
    <w:rsid w:val="00BA364C"/>
    <w:rsid w:val="00BA72F5"/>
    <w:rsid w:val="00BF7882"/>
    <w:rsid w:val="00CC16E4"/>
    <w:rsid w:val="00CC4DF6"/>
    <w:rsid w:val="00CD50A2"/>
    <w:rsid w:val="00CF1695"/>
    <w:rsid w:val="00D16B1E"/>
    <w:rsid w:val="00D3573E"/>
    <w:rsid w:val="00DC6C50"/>
    <w:rsid w:val="00DF7C6B"/>
    <w:rsid w:val="00E27711"/>
    <w:rsid w:val="00E60488"/>
    <w:rsid w:val="00E700B7"/>
    <w:rsid w:val="00EA4DEE"/>
    <w:rsid w:val="00EB4995"/>
    <w:rsid w:val="00EC1FCD"/>
    <w:rsid w:val="00ED3DB8"/>
    <w:rsid w:val="00EE3460"/>
    <w:rsid w:val="00F317AB"/>
    <w:rsid w:val="00F44010"/>
    <w:rsid w:val="00F533C0"/>
    <w:rsid w:val="00F90807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5D45D"/>
  <w15:docId w15:val="{B8362404-76BE-4415-8C0F-D01A9CE4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9759B"/>
  </w:style>
  <w:style w:type="paragraph" w:styleId="Heading1">
    <w:name w:val="heading 1"/>
    <w:basedOn w:val="Normal"/>
    <w:next w:val="Normal"/>
    <w:link w:val="Heading1Char"/>
    <w:uiPriority w:val="9"/>
    <w:qFormat/>
    <w:rsid w:val="001B1704"/>
    <w:pPr>
      <w:keepNext/>
      <w:keepLines/>
      <w:spacing w:before="360" w:after="320" w:line="259" w:lineRule="auto"/>
      <w:ind w:left="720" w:hanging="720"/>
      <w:jc w:val="center"/>
      <w:outlineLvl w:val="0"/>
    </w:pPr>
    <w:rPr>
      <w:rFonts w:ascii="Arial" w:eastAsiaTheme="majorEastAsia" w:hAnsi="Arial" w:cs="Arial"/>
      <w:b/>
      <w:bCs/>
      <w:color w:val="004D76"/>
      <w:sz w:val="56"/>
      <w:szCs w:val="56"/>
      <w:lang w:val="en-GB" w:eastAsia="en-US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7E5C2C"/>
    <w:pPr>
      <w:numPr>
        <w:ilvl w:val="0"/>
        <w:numId w:val="0"/>
      </w:numPr>
      <w:spacing w:line="288" w:lineRule="auto"/>
      <w:ind w:left="1225" w:hanging="1225"/>
      <w:jc w:val="center"/>
      <w:outlineLvl w:val="1"/>
    </w:pPr>
    <w:rPr>
      <w:rFonts w:ascii="Arial" w:hAnsi="Arial" w:cs="Arial"/>
      <w:color w:val="00B6E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21ED"/>
    <w:pPr>
      <w:keepNext/>
      <w:keepLines/>
      <w:numPr>
        <w:ilvl w:val="2"/>
        <w:numId w:val="4"/>
      </w:numPr>
      <w:spacing w:before="200" w:after="240" w:line="259" w:lineRule="auto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36"/>
      <w:szCs w:val="3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LCNFooter">
    <w:name w:val="GLCN Footer"/>
    <w:basedOn w:val="Normal"/>
    <w:rsid w:val="00FF60A2"/>
    <w:pPr>
      <w:widowControl w:val="0"/>
      <w:suppressLineNumbers/>
      <w:tabs>
        <w:tab w:val="right" w:pos="1134"/>
      </w:tabs>
      <w:suppressAutoHyphens/>
      <w:ind w:right="567"/>
      <w:jc w:val="right"/>
    </w:pPr>
    <w:rPr>
      <w:rFonts w:ascii="Arial" w:eastAsia="ScalaSansPro" w:hAnsi="Arial" w:cs="Arial Unicode MS"/>
      <w:color w:val="8D8E8D"/>
      <w:kern w:val="16"/>
      <w:sz w:val="16"/>
      <w:lang w:val="en-US" w:eastAsia="hi-IN" w:bidi="hi-IN"/>
    </w:rPr>
  </w:style>
  <w:style w:type="paragraph" w:styleId="Footer">
    <w:name w:val="footer"/>
    <w:next w:val="GLCNFooter"/>
    <w:link w:val="FooterChar"/>
    <w:uiPriority w:val="99"/>
    <w:unhideWhenUsed/>
    <w:rsid w:val="00FF60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0A2"/>
  </w:style>
  <w:style w:type="paragraph" w:customStyle="1" w:styleId="GLCNCovertitle">
    <w:name w:val="GLCN Cover title"/>
    <w:basedOn w:val="Normal"/>
    <w:rsid w:val="00FF60A2"/>
    <w:pPr>
      <w:widowControl w:val="0"/>
      <w:suppressLineNumbers/>
      <w:suppressAutoHyphens/>
      <w:spacing w:after="113"/>
      <w:ind w:left="1230" w:right="567"/>
      <w:contextualSpacing/>
    </w:pPr>
    <w:rPr>
      <w:rFonts w:ascii="Arial" w:eastAsia="Arial Unicode MS" w:hAnsi="Arial" w:cs="Arial Unicode MS"/>
      <w:caps/>
      <w:color w:val="666666"/>
      <w:kern w:val="56"/>
      <w:sz w:val="70"/>
      <w:lang w:val="en-US" w:eastAsia="hi-IN" w:bidi="hi-IN"/>
    </w:rPr>
  </w:style>
  <w:style w:type="paragraph" w:customStyle="1" w:styleId="GLCNHeadlineGreen">
    <w:name w:val="GLCN Headline Green"/>
    <w:basedOn w:val="Normal"/>
    <w:rsid w:val="00FF60A2"/>
    <w:pPr>
      <w:widowControl w:val="0"/>
      <w:suppressLineNumbers/>
      <w:suppressAutoHyphens/>
      <w:spacing w:after="113"/>
      <w:ind w:left="1230" w:right="567"/>
      <w:contextualSpacing/>
    </w:pPr>
    <w:rPr>
      <w:rFonts w:ascii="Arial" w:eastAsia="Arial Unicode MS" w:hAnsi="Arial" w:cs="Arial Unicode MS"/>
      <w:color w:val="009239"/>
      <w:kern w:val="56"/>
      <w:sz w:val="42"/>
      <w:lang w:val="en-US" w:eastAsia="hi-IN" w:bidi="hi-IN"/>
    </w:rPr>
  </w:style>
  <w:style w:type="paragraph" w:customStyle="1" w:styleId="GLCNHeadlineGrey">
    <w:name w:val="GLCN Headline Grey"/>
    <w:basedOn w:val="Normal"/>
    <w:rsid w:val="00FF60A2"/>
    <w:pPr>
      <w:widowControl w:val="0"/>
      <w:suppressLineNumbers/>
      <w:suppressAutoHyphens/>
      <w:spacing w:after="113"/>
      <w:ind w:left="1230" w:right="567"/>
      <w:contextualSpacing/>
    </w:pPr>
    <w:rPr>
      <w:rFonts w:ascii="Arial" w:eastAsia="Arial Unicode MS" w:hAnsi="Arial" w:cs="Arial Unicode MS"/>
      <w:color w:val="272727"/>
      <w:kern w:val="56"/>
      <w:sz w:val="42"/>
      <w:lang w:val="en-US" w:eastAsia="hi-IN" w:bidi="hi-IN"/>
    </w:rPr>
  </w:style>
  <w:style w:type="paragraph" w:customStyle="1" w:styleId="GLCNHeadlineRed">
    <w:name w:val="GLCN Headline Red"/>
    <w:basedOn w:val="GLCNHeadlineGrey"/>
    <w:rsid w:val="00FF60A2"/>
    <w:rPr>
      <w:color w:val="D12827"/>
    </w:rPr>
  </w:style>
  <w:style w:type="paragraph" w:customStyle="1" w:styleId="GLCNimagecredits">
    <w:name w:val="GLCN image credits"/>
    <w:basedOn w:val="Normal"/>
    <w:rsid w:val="00FF60A2"/>
    <w:pPr>
      <w:widowControl w:val="0"/>
      <w:tabs>
        <w:tab w:val="left" w:pos="113"/>
        <w:tab w:val="left" w:pos="283"/>
      </w:tabs>
      <w:suppressAutoHyphens/>
      <w:spacing w:before="100"/>
      <w:ind w:left="1230" w:right="567"/>
      <w:jc w:val="right"/>
    </w:pPr>
    <w:rPr>
      <w:rFonts w:ascii="Arial" w:eastAsia="Arial Unicode MS" w:hAnsi="Arial" w:cs="Arial Unicode MS"/>
      <w:i/>
      <w:color w:val="272727"/>
      <w:spacing w:val="4"/>
      <w:kern w:val="22"/>
      <w:sz w:val="18"/>
      <w:lang w:val="en-US" w:eastAsia="hi-IN" w:bidi="hi-IN"/>
    </w:rPr>
  </w:style>
  <w:style w:type="paragraph" w:customStyle="1" w:styleId="GLCNmaintext">
    <w:name w:val="GLCN main text"/>
    <w:basedOn w:val="Normal"/>
    <w:rsid w:val="00FF60A2"/>
    <w:pPr>
      <w:widowControl w:val="0"/>
      <w:suppressAutoHyphens/>
      <w:spacing w:before="100" w:after="120"/>
      <w:ind w:left="1230" w:right="567"/>
    </w:pPr>
    <w:rPr>
      <w:rFonts w:ascii="Arial" w:eastAsia="Arial Unicode MS" w:hAnsi="Arial" w:cs="Arial Unicode MS"/>
      <w:color w:val="272727"/>
      <w:spacing w:val="4"/>
      <w:kern w:val="22"/>
      <w:lang w:val="en-US" w:eastAsia="hi-IN" w:bidi="hi-IN"/>
    </w:rPr>
  </w:style>
  <w:style w:type="paragraph" w:customStyle="1" w:styleId="GLCNNumeration">
    <w:name w:val="GLCN Numeration"/>
    <w:basedOn w:val="GLCNmaintext"/>
    <w:rsid w:val="00FF60A2"/>
    <w:pPr>
      <w:numPr>
        <w:numId w:val="1"/>
      </w:numPr>
      <w:tabs>
        <w:tab w:val="left" w:pos="113"/>
        <w:tab w:val="left" w:pos="283"/>
      </w:tabs>
      <w:spacing w:after="0"/>
    </w:pPr>
  </w:style>
  <w:style w:type="paragraph" w:customStyle="1" w:styleId="GLCNQuotesOrange">
    <w:name w:val="GLCN Quotes Orange"/>
    <w:basedOn w:val="Normal"/>
    <w:rsid w:val="00FF60A2"/>
    <w:pPr>
      <w:widowControl w:val="0"/>
      <w:suppressAutoHyphens/>
      <w:spacing w:after="120"/>
      <w:ind w:left="1230" w:right="567"/>
    </w:pPr>
    <w:rPr>
      <w:rFonts w:ascii="Arial" w:eastAsia="Arial Unicode MS" w:hAnsi="Arial" w:cs="Arial Unicode MS"/>
      <w:i/>
      <w:color w:val="E68330"/>
      <w:kern w:val="1"/>
      <w:sz w:val="28"/>
      <w:lang w:val="en-US" w:eastAsia="hi-IN" w:bidi="hi-IN"/>
    </w:rPr>
  </w:style>
  <w:style w:type="paragraph" w:customStyle="1" w:styleId="GLCNQuotesRed">
    <w:name w:val="GLCN Quotes Red"/>
    <w:basedOn w:val="Normal"/>
    <w:rsid w:val="00FF60A2"/>
    <w:pPr>
      <w:widowControl w:val="0"/>
      <w:suppressAutoHyphens/>
      <w:spacing w:after="120"/>
      <w:ind w:left="1230" w:right="567"/>
    </w:pPr>
    <w:rPr>
      <w:rFonts w:ascii="Arial" w:eastAsia="Arial Unicode MS" w:hAnsi="Arial" w:cs="Arial Unicode MS"/>
      <w:i/>
      <w:color w:val="D12827"/>
      <w:kern w:val="1"/>
      <w:sz w:val="28"/>
      <w:lang w:val="en-US" w:eastAsia="hi-IN" w:bidi="hi-IN"/>
    </w:rPr>
  </w:style>
  <w:style w:type="paragraph" w:customStyle="1" w:styleId="GLCNSubheadlineGreen">
    <w:name w:val="GLCN Subheadline Green"/>
    <w:basedOn w:val="Normal"/>
    <w:rsid w:val="00FF60A2"/>
    <w:pPr>
      <w:widowControl w:val="0"/>
      <w:suppressAutoHyphens/>
      <w:spacing w:before="100" w:after="120"/>
      <w:ind w:left="1230" w:right="567"/>
    </w:pPr>
    <w:rPr>
      <w:rFonts w:ascii="Arial" w:eastAsia="Arial Unicode MS" w:hAnsi="Arial" w:cs="Arial Unicode MS"/>
      <w:color w:val="009239"/>
      <w:kern w:val="1"/>
      <w:sz w:val="28"/>
      <w:lang w:val="en-US" w:eastAsia="hi-IN" w:bidi="hi-IN"/>
    </w:rPr>
  </w:style>
  <w:style w:type="paragraph" w:customStyle="1" w:styleId="GLCNSubheadlineGrey">
    <w:name w:val="GLCN Subheadline Grey"/>
    <w:basedOn w:val="Normal"/>
    <w:rsid w:val="00FF60A2"/>
    <w:pPr>
      <w:widowControl w:val="0"/>
      <w:suppressAutoHyphens/>
      <w:spacing w:before="100" w:after="120"/>
      <w:ind w:left="1230" w:right="567"/>
    </w:pPr>
    <w:rPr>
      <w:rFonts w:ascii="Arial" w:eastAsia="Arial Unicode MS" w:hAnsi="Arial" w:cs="Arial Unicode MS"/>
      <w:color w:val="272727"/>
      <w:kern w:val="1"/>
      <w:sz w:val="28"/>
      <w:lang w:val="en-US" w:eastAsia="hi-IN" w:bidi="hi-IN"/>
    </w:rPr>
  </w:style>
  <w:style w:type="paragraph" w:customStyle="1" w:styleId="GLCNSubheadlineRed">
    <w:name w:val="GLCN Subheadline Red"/>
    <w:basedOn w:val="GLCNSubheadlineGrey"/>
    <w:rsid w:val="00FF60A2"/>
    <w:rPr>
      <w:color w:val="D12827"/>
    </w:rPr>
  </w:style>
  <w:style w:type="paragraph" w:customStyle="1" w:styleId="GLCNSubtitleGreen">
    <w:name w:val="GLCN Subtitle Green"/>
    <w:basedOn w:val="Normal"/>
    <w:rsid w:val="00FF60A2"/>
    <w:pPr>
      <w:widowControl w:val="0"/>
      <w:suppressAutoHyphens/>
      <w:spacing w:before="100" w:after="120"/>
      <w:ind w:left="1230" w:right="567"/>
    </w:pPr>
    <w:rPr>
      <w:rFonts w:ascii="Arial" w:eastAsia="Arial Unicode MS" w:hAnsi="Arial" w:cs="Arial Unicode MS"/>
      <w:color w:val="009239"/>
      <w:kern w:val="1"/>
      <w:sz w:val="44"/>
      <w:lang w:val="en-US" w:eastAsia="hi-IN" w:bidi="hi-IN"/>
    </w:rPr>
  </w:style>
  <w:style w:type="paragraph" w:customStyle="1" w:styleId="GLCNSubtitlegrey">
    <w:name w:val="GLCN Subtitle grey"/>
    <w:basedOn w:val="GLCNSubtitleGreen"/>
    <w:rsid w:val="00FF60A2"/>
    <w:rPr>
      <w:color w:val="272727"/>
    </w:rPr>
  </w:style>
  <w:style w:type="paragraph" w:customStyle="1" w:styleId="GLCNTableHeadline">
    <w:name w:val="GLCN Table Headline"/>
    <w:basedOn w:val="Normal"/>
    <w:rsid w:val="00FF60A2"/>
    <w:pPr>
      <w:widowControl w:val="0"/>
      <w:suppressLineNumbers/>
      <w:suppressAutoHyphens/>
      <w:ind w:left="57" w:right="57"/>
    </w:pPr>
    <w:rPr>
      <w:rFonts w:ascii="Arial" w:eastAsia="Arial Unicode MS" w:hAnsi="Arial" w:cs="Arial Unicode MS"/>
      <w:caps/>
      <w:color w:val="FFFFFF"/>
      <w:kern w:val="24"/>
      <w:lang w:val="en-US" w:eastAsia="hi-IN" w:bidi="hi-IN"/>
    </w:rPr>
  </w:style>
  <w:style w:type="paragraph" w:customStyle="1" w:styleId="GLCNTableTextgrey">
    <w:name w:val="GLCN Table Text grey"/>
    <w:basedOn w:val="Normal"/>
    <w:rsid w:val="00FF60A2"/>
    <w:pPr>
      <w:widowControl w:val="0"/>
      <w:suppressLineNumbers/>
      <w:suppressAutoHyphens/>
      <w:ind w:left="57" w:right="57"/>
    </w:pPr>
    <w:rPr>
      <w:rFonts w:ascii="Arial" w:eastAsia="Arial Unicode MS" w:hAnsi="Arial" w:cs="Arial Unicode MS"/>
      <w:color w:val="000000" w:themeColor="text1"/>
      <w:spacing w:val="4"/>
      <w:kern w:val="20"/>
      <w:sz w:val="20"/>
      <w:lang w:val="en-US" w:eastAsia="hi-IN" w:bidi="hi-IN"/>
    </w:rPr>
  </w:style>
  <w:style w:type="paragraph" w:customStyle="1" w:styleId="GLCNTableTextwhite">
    <w:name w:val="GLCN Table Text white"/>
    <w:basedOn w:val="Normal"/>
    <w:rsid w:val="00FF60A2"/>
    <w:pPr>
      <w:widowControl w:val="0"/>
      <w:suppressLineNumbers/>
      <w:suppressAutoHyphens/>
      <w:ind w:left="57" w:right="57"/>
    </w:pPr>
    <w:rPr>
      <w:rFonts w:ascii="Arial" w:eastAsia="Arial Unicode MS" w:hAnsi="Arial" w:cs="Arial Unicode MS"/>
      <w:color w:val="FFFFFF"/>
      <w:kern w:val="1"/>
      <w:sz w:val="20"/>
      <w:lang w:val="en-US" w:eastAsia="hi-IN" w:bidi="hi-IN"/>
    </w:rPr>
  </w:style>
  <w:style w:type="paragraph" w:customStyle="1" w:styleId="GLCNtextboxheadline">
    <w:name w:val="GLCN text box headline"/>
    <w:basedOn w:val="GLCNTableHeadline"/>
    <w:rsid w:val="00FF60A2"/>
    <w:pPr>
      <w:tabs>
        <w:tab w:val="right" w:pos="2410"/>
      </w:tabs>
    </w:pPr>
  </w:style>
  <w:style w:type="paragraph" w:customStyle="1" w:styleId="GLCNtextboxmaintext">
    <w:name w:val="GLCN text box main text"/>
    <w:basedOn w:val="GLCNTableTextgrey"/>
    <w:rsid w:val="00FF60A2"/>
  </w:style>
  <w:style w:type="paragraph" w:customStyle="1" w:styleId="GLCNTitleGreen">
    <w:name w:val="GLCN Title Green"/>
    <w:basedOn w:val="Normal"/>
    <w:rsid w:val="00FF60A2"/>
    <w:pPr>
      <w:widowControl w:val="0"/>
      <w:suppressLineNumbers/>
      <w:suppressAutoHyphens/>
      <w:spacing w:after="113"/>
      <w:ind w:left="1230" w:right="567"/>
      <w:contextualSpacing/>
    </w:pPr>
    <w:rPr>
      <w:rFonts w:ascii="Arial" w:eastAsia="Arial Unicode MS" w:hAnsi="Arial" w:cs="Arial Unicode MS"/>
      <w:color w:val="009239"/>
      <w:kern w:val="56"/>
      <w:sz w:val="56"/>
      <w:lang w:val="en-US" w:eastAsia="hi-IN" w:bidi="hi-IN"/>
    </w:rPr>
  </w:style>
  <w:style w:type="paragraph" w:customStyle="1" w:styleId="GLCNTitleGrey">
    <w:name w:val="GLCN Title Grey"/>
    <w:basedOn w:val="GLCNTableTextwhite"/>
    <w:rsid w:val="00FF60A2"/>
    <w:pPr>
      <w:spacing w:after="113"/>
      <w:ind w:left="1230" w:right="567"/>
      <w:contextualSpacing/>
    </w:pPr>
    <w:rPr>
      <w:color w:val="272727"/>
      <w:kern w:val="56"/>
      <w:sz w:val="56"/>
    </w:rPr>
  </w:style>
  <w:style w:type="paragraph" w:customStyle="1" w:styleId="Headlinegreen-GLCN">
    <w:name w:val="Headline green - GLCN"/>
    <w:basedOn w:val="GLCNHeadlineGrey"/>
    <w:link w:val="Headlinegreen-GLCNChar"/>
    <w:qFormat/>
    <w:rsid w:val="008C22C0"/>
    <w:pPr>
      <w:spacing w:after="200"/>
    </w:pPr>
    <w:rPr>
      <w:color w:val="009239"/>
    </w:rPr>
  </w:style>
  <w:style w:type="character" w:customStyle="1" w:styleId="Headlinegreen-GLCNChar">
    <w:name w:val="Headline green - GLCN Char"/>
    <w:basedOn w:val="DefaultParagraphFont"/>
    <w:link w:val="Headlinegreen-GLCN"/>
    <w:rsid w:val="008C22C0"/>
    <w:rPr>
      <w:rFonts w:ascii="Arial" w:eastAsia="Arial Unicode MS" w:hAnsi="Arial" w:cs="Arial Unicode MS"/>
      <w:color w:val="009239"/>
      <w:kern w:val="56"/>
      <w:sz w:val="42"/>
      <w:lang w:val="en-US" w:eastAsia="hi-IN" w:bidi="hi-IN"/>
    </w:rPr>
  </w:style>
  <w:style w:type="paragraph" w:customStyle="1" w:styleId="Text-GLCN">
    <w:name w:val="Text - GLCN"/>
    <w:basedOn w:val="GLCNSubheadlineGreen"/>
    <w:link w:val="Text-GLCNChar"/>
    <w:qFormat/>
    <w:rsid w:val="008C22C0"/>
    <w:pPr>
      <w:spacing w:line="288" w:lineRule="auto"/>
      <w:jc w:val="both"/>
    </w:pPr>
    <w:rPr>
      <w:color w:val="272727"/>
      <w:spacing w:val="4"/>
      <w:kern w:val="22"/>
      <w:sz w:val="22"/>
    </w:rPr>
  </w:style>
  <w:style w:type="character" w:customStyle="1" w:styleId="Text-GLCNChar">
    <w:name w:val="Text - GLCN Char"/>
    <w:basedOn w:val="DefaultParagraphFont"/>
    <w:link w:val="Text-GLCN"/>
    <w:rsid w:val="008C22C0"/>
    <w:rPr>
      <w:rFonts w:ascii="Arial" w:eastAsia="Arial Unicode MS" w:hAnsi="Arial" w:cs="Arial Unicode MS"/>
      <w:color w:val="272727"/>
      <w:spacing w:val="4"/>
      <w:kern w:val="22"/>
      <w:sz w:val="22"/>
      <w:lang w:val="en-US" w:eastAsia="hi-IN" w:bidi="hi-IN"/>
    </w:rPr>
  </w:style>
  <w:style w:type="paragraph" w:customStyle="1" w:styleId="Tabletext-GLCN">
    <w:name w:val="Table text - GLCN"/>
    <w:basedOn w:val="GLCNTableTextwhite"/>
    <w:qFormat/>
    <w:rsid w:val="008C22C0"/>
    <w:rPr>
      <w:color w:val="000000" w:themeColor="text1"/>
      <w:spacing w:val="4"/>
      <w:kern w:val="20"/>
    </w:rPr>
  </w:style>
  <w:style w:type="paragraph" w:customStyle="1" w:styleId="Tableheadline-GLCN">
    <w:name w:val="Table headline - GLCN"/>
    <w:basedOn w:val="GLCNTableTextwhite"/>
    <w:qFormat/>
    <w:rsid w:val="008C22C0"/>
    <w:rPr>
      <w:caps/>
      <w:kern w:val="24"/>
      <w:sz w:val="24"/>
    </w:rPr>
  </w:style>
  <w:style w:type="paragraph" w:customStyle="1" w:styleId="Covertitle1-GLCN">
    <w:name w:val="Cover title 1 - GLCN"/>
    <w:basedOn w:val="GLCNTitleGrey"/>
    <w:link w:val="Covertitle1-GLCNChar"/>
    <w:qFormat/>
    <w:rsid w:val="008C22C0"/>
    <w:rPr>
      <w:b/>
      <w:color w:val="666666"/>
      <w:sz w:val="70"/>
    </w:rPr>
  </w:style>
  <w:style w:type="character" w:customStyle="1" w:styleId="Covertitle1-GLCNChar">
    <w:name w:val="Cover title 1 - GLCN Char"/>
    <w:basedOn w:val="DefaultParagraphFont"/>
    <w:link w:val="Covertitle1-GLCN"/>
    <w:rsid w:val="008C22C0"/>
    <w:rPr>
      <w:rFonts w:ascii="Arial" w:eastAsia="Arial Unicode MS" w:hAnsi="Arial" w:cs="Arial Unicode MS"/>
      <w:b/>
      <w:color w:val="666666"/>
      <w:kern w:val="56"/>
      <w:sz w:val="70"/>
      <w:lang w:val="en-US" w:eastAsia="hi-IN" w:bidi="hi-IN"/>
    </w:rPr>
  </w:style>
  <w:style w:type="paragraph" w:customStyle="1" w:styleId="Textbox-bullets">
    <w:name w:val="Text box - bullets"/>
    <w:basedOn w:val="Tabletext-GLCN"/>
    <w:qFormat/>
    <w:rsid w:val="008C22C0"/>
    <w:pPr>
      <w:numPr>
        <w:numId w:val="2"/>
      </w:numPr>
      <w:spacing w:before="60"/>
    </w:pPr>
  </w:style>
  <w:style w:type="paragraph" w:customStyle="1" w:styleId="Bulletpointtext-GLCN">
    <w:name w:val="Bullet point text - GLCN"/>
    <w:basedOn w:val="Text-GLCN"/>
    <w:link w:val="Bulletpointtext-GLCNChar"/>
    <w:qFormat/>
    <w:rsid w:val="008C22C0"/>
    <w:pPr>
      <w:numPr>
        <w:numId w:val="3"/>
      </w:numPr>
    </w:pPr>
  </w:style>
  <w:style w:type="character" w:customStyle="1" w:styleId="Bulletpointtext-GLCNChar">
    <w:name w:val="Bullet point text - GLCN Char"/>
    <w:basedOn w:val="Text-GLCNChar"/>
    <w:link w:val="Bulletpointtext-GLCN"/>
    <w:rsid w:val="008C22C0"/>
    <w:rPr>
      <w:rFonts w:ascii="Arial" w:eastAsia="Arial Unicode MS" w:hAnsi="Arial" w:cs="Arial Unicode MS"/>
      <w:color w:val="272727"/>
      <w:spacing w:val="4"/>
      <w:kern w:val="22"/>
      <w:sz w:val="22"/>
      <w:lang w:val="en-US" w:eastAsia="hi-IN" w:bidi="hi-IN"/>
    </w:rPr>
  </w:style>
  <w:style w:type="paragraph" w:customStyle="1" w:styleId="Subheadlinegrey-GLCN">
    <w:name w:val="Subheadline grey - GLCN"/>
    <w:basedOn w:val="Headlinegreen-GLCN"/>
    <w:link w:val="Subheadlinegrey-GLCNChar"/>
    <w:qFormat/>
    <w:rsid w:val="008C22C0"/>
    <w:rPr>
      <w:b/>
      <w:color w:val="272727"/>
      <w:sz w:val="32"/>
    </w:rPr>
  </w:style>
  <w:style w:type="character" w:customStyle="1" w:styleId="Subheadlinegrey-GLCNChar">
    <w:name w:val="Subheadline grey - GLCN Char"/>
    <w:basedOn w:val="Headlinegreen-GLCNChar"/>
    <w:link w:val="Subheadlinegrey-GLCN"/>
    <w:rsid w:val="008C22C0"/>
    <w:rPr>
      <w:rFonts w:ascii="Arial" w:eastAsia="Arial Unicode MS" w:hAnsi="Arial" w:cs="Arial Unicode MS"/>
      <w:b/>
      <w:color w:val="272727"/>
      <w:kern w:val="56"/>
      <w:sz w:val="32"/>
      <w:lang w:val="en-US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1921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1ED"/>
  </w:style>
  <w:style w:type="paragraph" w:styleId="BalloonText">
    <w:name w:val="Balloon Text"/>
    <w:basedOn w:val="Normal"/>
    <w:link w:val="BalloonTextChar"/>
    <w:uiPriority w:val="99"/>
    <w:semiHidden/>
    <w:unhideWhenUsed/>
    <w:rsid w:val="00192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1704"/>
    <w:rPr>
      <w:rFonts w:ascii="Arial" w:eastAsiaTheme="majorEastAsia" w:hAnsi="Arial" w:cs="Arial"/>
      <w:b/>
      <w:bCs/>
      <w:color w:val="004D76"/>
      <w:sz w:val="56"/>
      <w:szCs w:val="56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E5C2C"/>
    <w:rPr>
      <w:rFonts w:ascii="Arial" w:eastAsiaTheme="majorEastAsia" w:hAnsi="Arial" w:cs="Arial"/>
      <w:b/>
      <w:bCs/>
      <w:color w:val="00B6ED"/>
      <w:sz w:val="36"/>
      <w:szCs w:val="3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921ED"/>
    <w:rPr>
      <w:rFonts w:asciiTheme="majorHAnsi" w:eastAsiaTheme="majorEastAsia" w:hAnsiTheme="majorHAnsi" w:cstheme="majorBidi"/>
      <w:b/>
      <w:bCs/>
      <w:color w:val="1F497D" w:themeColor="text2"/>
      <w:sz w:val="36"/>
      <w:szCs w:val="36"/>
      <w:lang w:val="en-GB" w:eastAsia="en-US"/>
    </w:rPr>
  </w:style>
  <w:style w:type="paragraph" w:customStyle="1" w:styleId="Subheadline">
    <w:name w:val="Subheadline"/>
    <w:basedOn w:val="Normal"/>
    <w:rsid w:val="00E700B7"/>
    <w:pPr>
      <w:widowControl w:val="0"/>
      <w:suppressAutoHyphens/>
      <w:ind w:right="567"/>
      <w:jc w:val="center"/>
    </w:pPr>
    <w:rPr>
      <w:rFonts w:ascii="Trebuchet MS" w:eastAsia="Arial Unicode MS" w:hAnsi="Trebuchet MS" w:cs="Arial Unicode MS"/>
      <w:b/>
      <w:color w:val="128F88"/>
      <w:kern w:val="1"/>
      <w:sz w:val="32"/>
      <w:szCs w:val="32"/>
      <w:lang w:val="en-GB" w:eastAsia="hi-IN" w:bidi="hi-IN"/>
    </w:rPr>
  </w:style>
  <w:style w:type="paragraph" w:customStyle="1" w:styleId="UWHeadline2">
    <w:name w:val="UW Headline 2"/>
    <w:basedOn w:val="UWHeadline"/>
    <w:rsid w:val="00E700B7"/>
    <w:pPr>
      <w:spacing w:before="120" w:after="120"/>
    </w:pPr>
    <w:rPr>
      <w:color w:val="128F88"/>
      <w:sz w:val="32"/>
    </w:rPr>
  </w:style>
  <w:style w:type="paragraph" w:customStyle="1" w:styleId="UWText">
    <w:name w:val="UW Text"/>
    <w:basedOn w:val="Normal"/>
    <w:rsid w:val="00B93408"/>
    <w:pPr>
      <w:spacing w:after="60" w:line="288" w:lineRule="auto"/>
      <w:jc w:val="both"/>
    </w:pPr>
    <w:rPr>
      <w:rFonts w:ascii="Trebuchet MS" w:hAnsi="Trebuchet MS"/>
      <w:sz w:val="23"/>
      <w:szCs w:val="23"/>
      <w:lang w:val="en-GB"/>
    </w:rPr>
  </w:style>
  <w:style w:type="paragraph" w:customStyle="1" w:styleId="UWTextItalic-pressrelease">
    <w:name w:val="UW Text Italic - press release"/>
    <w:basedOn w:val="UWText"/>
    <w:rsid w:val="00A37555"/>
    <w:rPr>
      <w:i/>
    </w:rPr>
  </w:style>
  <w:style w:type="paragraph" w:customStyle="1" w:styleId="UWmaintext">
    <w:name w:val="UW main text"/>
    <w:basedOn w:val="Normal"/>
    <w:next w:val="Normal"/>
    <w:rsid w:val="00A37555"/>
    <w:pPr>
      <w:widowControl w:val="0"/>
      <w:suppressAutoHyphens/>
      <w:spacing w:before="100" w:after="120"/>
      <w:ind w:left="1230" w:right="567"/>
    </w:pPr>
    <w:rPr>
      <w:rFonts w:ascii="Trebuchet MS" w:eastAsia="Arial Unicode MS" w:hAnsi="Trebuchet MS" w:cs="Arial Unicode MS"/>
      <w:color w:val="595959"/>
      <w:spacing w:val="4"/>
      <w:kern w:val="22"/>
      <w:sz w:val="22"/>
      <w:lang w:val="en-US" w:eastAsia="hi-IN" w:bidi="hi-IN"/>
    </w:rPr>
  </w:style>
  <w:style w:type="paragraph" w:customStyle="1" w:styleId="UWtableheadline">
    <w:name w:val="UW table headline"/>
    <w:basedOn w:val="Normal"/>
    <w:rsid w:val="00B93408"/>
    <w:pPr>
      <w:widowControl w:val="0"/>
      <w:suppressLineNumbers/>
      <w:tabs>
        <w:tab w:val="left" w:pos="150"/>
      </w:tabs>
      <w:suppressAutoHyphens/>
      <w:ind w:left="57" w:right="57"/>
    </w:pPr>
    <w:rPr>
      <w:rFonts w:ascii="Trebuchet MS" w:eastAsia="Arial Unicode MS" w:hAnsi="Trebuchet MS" w:cs="Arial Unicode MS"/>
      <w:b/>
      <w:caps/>
      <w:color w:val="FFFFFF"/>
      <w:kern w:val="24"/>
      <w:lang w:val="en-US" w:eastAsia="hi-IN" w:bidi="hi-IN"/>
    </w:rPr>
  </w:style>
  <w:style w:type="paragraph" w:customStyle="1" w:styleId="UWTabletext">
    <w:name w:val="UW Table text"/>
    <w:basedOn w:val="UWmaintext"/>
    <w:qFormat/>
    <w:rsid w:val="006B7D3E"/>
    <w:pPr>
      <w:ind w:left="0"/>
    </w:pPr>
    <w:rPr>
      <w:rFonts w:cs="Arial"/>
      <w:szCs w:val="20"/>
    </w:rPr>
  </w:style>
  <w:style w:type="character" w:styleId="Hyperlink">
    <w:name w:val="Hyperlink"/>
    <w:basedOn w:val="DefaultParagraphFont"/>
    <w:uiPriority w:val="99"/>
    <w:unhideWhenUsed/>
    <w:rsid w:val="00B427C8"/>
    <w:rPr>
      <w:color w:val="0000FF" w:themeColor="hyperlink"/>
      <w:u w:val="single"/>
    </w:rPr>
  </w:style>
  <w:style w:type="paragraph" w:customStyle="1" w:styleId="UWFooter">
    <w:name w:val="UW Footer"/>
    <w:basedOn w:val="UWText"/>
    <w:rsid w:val="003160FE"/>
    <w:pPr>
      <w:spacing w:after="0"/>
      <w:jc w:val="right"/>
    </w:pPr>
    <w:rPr>
      <w:b/>
      <w:noProof/>
      <w:color w:val="0A4155"/>
      <w:sz w:val="18"/>
      <w:szCs w:val="18"/>
      <w:lang w:val="en-US" w:eastAsia="zh-TW"/>
    </w:rPr>
  </w:style>
  <w:style w:type="paragraph" w:customStyle="1" w:styleId="UWHeadline">
    <w:name w:val="UW Headline"/>
    <w:basedOn w:val="Normal"/>
    <w:link w:val="UWHeadlineChar"/>
    <w:qFormat/>
    <w:rsid w:val="00031F2C"/>
    <w:pPr>
      <w:keepNext/>
      <w:keepLines/>
      <w:spacing w:before="360" w:after="320" w:line="259" w:lineRule="auto"/>
      <w:ind w:left="720" w:hanging="720"/>
      <w:jc w:val="center"/>
      <w:outlineLvl w:val="0"/>
    </w:pPr>
    <w:rPr>
      <w:rFonts w:ascii="Trebuchet MS" w:eastAsiaTheme="majorEastAsia" w:hAnsi="Trebuchet MS" w:cstheme="majorBidi"/>
      <w:b/>
      <w:bCs/>
      <w:color w:val="0A4155"/>
      <w:sz w:val="44"/>
      <w:szCs w:val="44"/>
      <w:lang w:val="en-GB" w:eastAsia="en-US"/>
    </w:rPr>
  </w:style>
  <w:style w:type="paragraph" w:customStyle="1" w:styleId="UWTitle">
    <w:name w:val="UW Title"/>
    <w:basedOn w:val="Normal"/>
    <w:rsid w:val="00BA364C"/>
    <w:pPr>
      <w:jc w:val="center"/>
    </w:pPr>
    <w:rPr>
      <w:rFonts w:ascii="Trebuchet MS" w:hAnsi="Trebuchet MS"/>
      <w:b/>
      <w:color w:val="0A4155"/>
      <w:sz w:val="28"/>
      <w:lang w:val="en-GB"/>
    </w:rPr>
  </w:style>
  <w:style w:type="character" w:customStyle="1" w:styleId="UWHeadlineChar">
    <w:name w:val="UW Headline Char"/>
    <w:basedOn w:val="DefaultParagraphFont"/>
    <w:link w:val="UWHeadline"/>
    <w:rsid w:val="00031F2C"/>
    <w:rPr>
      <w:rFonts w:ascii="Trebuchet MS" w:eastAsiaTheme="majorEastAsia" w:hAnsi="Trebuchet MS" w:cstheme="majorBidi"/>
      <w:b/>
      <w:bCs/>
      <w:color w:val="0A4155"/>
      <w:sz w:val="44"/>
      <w:szCs w:val="44"/>
      <w:lang w:val="en-GB" w:eastAsia="en-US"/>
    </w:rPr>
  </w:style>
  <w:style w:type="paragraph" w:customStyle="1" w:styleId="UWBluetext">
    <w:name w:val="UW Blue text"/>
    <w:basedOn w:val="Normal"/>
    <w:link w:val="UWBluetextChar"/>
    <w:qFormat/>
    <w:rsid w:val="00B93408"/>
    <w:pPr>
      <w:tabs>
        <w:tab w:val="left" w:pos="1134"/>
      </w:tabs>
      <w:snapToGrid w:val="0"/>
      <w:spacing w:after="60" w:line="288" w:lineRule="auto"/>
      <w:ind w:right="153"/>
    </w:pPr>
    <w:rPr>
      <w:rFonts w:ascii="Trebuchet MS" w:hAnsi="Trebuchet MS"/>
      <w:b/>
      <w:color w:val="0A4155"/>
    </w:rPr>
  </w:style>
  <w:style w:type="paragraph" w:customStyle="1" w:styleId="UWGreentext">
    <w:name w:val="UW Green text"/>
    <w:basedOn w:val="Normal"/>
    <w:rsid w:val="00B93408"/>
    <w:pPr>
      <w:tabs>
        <w:tab w:val="left" w:pos="1134"/>
      </w:tabs>
      <w:snapToGrid w:val="0"/>
      <w:spacing w:after="60" w:line="288" w:lineRule="auto"/>
      <w:ind w:right="153"/>
    </w:pPr>
    <w:rPr>
      <w:rFonts w:ascii="Trebuchet MS" w:hAnsi="Trebuchet MS" w:cs="Open Sans"/>
      <w:b/>
      <w:color w:val="009D99"/>
      <w:sz w:val="23"/>
      <w:szCs w:val="23"/>
      <w:lang w:val="en-GB"/>
    </w:rPr>
  </w:style>
  <w:style w:type="character" w:customStyle="1" w:styleId="UWBluetextChar">
    <w:name w:val="UW Blue text Char"/>
    <w:basedOn w:val="DefaultParagraphFont"/>
    <w:link w:val="UWBluetext"/>
    <w:rsid w:val="00B93408"/>
    <w:rPr>
      <w:rFonts w:ascii="Trebuchet MS" w:hAnsi="Trebuchet MS"/>
      <w:b/>
      <w:color w:val="0A4155"/>
    </w:rPr>
  </w:style>
  <w:style w:type="paragraph" w:customStyle="1" w:styleId="UWTextitalic">
    <w:name w:val="UW Text italic"/>
    <w:basedOn w:val="UWText"/>
    <w:rsid w:val="00B93408"/>
    <w:rPr>
      <w:i/>
    </w:rPr>
  </w:style>
  <w:style w:type="paragraph" w:customStyle="1" w:styleId="Normaltext">
    <w:name w:val="Normal text"/>
    <w:basedOn w:val="Normal"/>
    <w:link w:val="NormaltextChar"/>
    <w:qFormat/>
    <w:rsid w:val="001B1704"/>
    <w:pPr>
      <w:spacing w:after="120" w:line="288" w:lineRule="auto"/>
      <w:jc w:val="both"/>
    </w:pPr>
    <w:rPr>
      <w:rFonts w:ascii="Arial" w:hAnsi="Arial" w:cs="Arial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1B170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Char">
    <w:name w:val="Normal text Char"/>
    <w:basedOn w:val="DefaultParagraphFont"/>
    <w:link w:val="Normaltext"/>
    <w:rsid w:val="001B1704"/>
    <w:rPr>
      <w:rFonts w:ascii="Arial" w:hAnsi="Arial" w:cs="Arial"/>
      <w:sz w:val="22"/>
      <w:szCs w:val="22"/>
      <w:lang w:val="en-GB"/>
    </w:rPr>
  </w:style>
  <w:style w:type="paragraph" w:customStyle="1" w:styleId="Boxheading">
    <w:name w:val="Box heading"/>
    <w:basedOn w:val="UWtableheadline"/>
    <w:link w:val="BoxheadingChar"/>
    <w:qFormat/>
    <w:rsid w:val="000F37A5"/>
    <w:pPr>
      <w:spacing w:before="120" w:after="120" w:line="288" w:lineRule="auto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Normaltextbox">
    <w:name w:val="Normal text box"/>
    <w:basedOn w:val="Normal"/>
    <w:link w:val="NormaltextboxChar"/>
    <w:qFormat/>
    <w:rsid w:val="001B1704"/>
    <w:pPr>
      <w:spacing w:before="80" w:after="80" w:line="288" w:lineRule="auto"/>
      <w:ind w:left="113" w:right="113"/>
      <w:jc w:val="both"/>
    </w:pPr>
    <w:rPr>
      <w:rFonts w:ascii="Arial" w:eastAsiaTheme="minorHAnsi" w:hAnsi="Arial" w:cstheme="minorBidi"/>
      <w:color w:val="404040" w:themeColor="text1" w:themeTint="BF"/>
      <w:sz w:val="22"/>
      <w:szCs w:val="22"/>
      <w:lang w:val="en-GB" w:eastAsia="en-US"/>
    </w:rPr>
  </w:style>
  <w:style w:type="character" w:customStyle="1" w:styleId="BoxheadingChar">
    <w:name w:val="Box heading Char"/>
    <w:basedOn w:val="DefaultParagraphFont"/>
    <w:link w:val="Boxheading"/>
    <w:rsid w:val="000F37A5"/>
    <w:rPr>
      <w:rFonts w:ascii="Arial" w:eastAsia="Arial Unicode MS" w:hAnsi="Arial" w:cs="Arial"/>
      <w:b/>
      <w:caps/>
      <w:color w:val="FFFFFF"/>
      <w:kern w:val="24"/>
      <w:sz w:val="22"/>
      <w:szCs w:val="22"/>
      <w:lang w:val="en-GB" w:eastAsia="hi-IN" w:bidi="hi-IN"/>
    </w:rPr>
  </w:style>
  <w:style w:type="character" w:customStyle="1" w:styleId="NormaltextboxChar">
    <w:name w:val="Normal text box Char"/>
    <w:basedOn w:val="DefaultParagraphFont"/>
    <w:link w:val="Normaltextbox"/>
    <w:rsid w:val="001B1704"/>
    <w:rPr>
      <w:rFonts w:ascii="Arial" w:eastAsiaTheme="minorHAnsi" w:hAnsi="Arial" w:cstheme="minorBidi"/>
      <w:color w:val="404040" w:themeColor="text1" w:themeTint="BF"/>
      <w:sz w:val="22"/>
      <w:szCs w:val="22"/>
      <w:lang w:val="en-GB" w:eastAsia="en-US"/>
    </w:rPr>
  </w:style>
  <w:style w:type="paragraph" w:customStyle="1" w:styleId="Boxtext">
    <w:name w:val="Box text"/>
    <w:basedOn w:val="Normaltextbox"/>
    <w:link w:val="BoxtextChar"/>
    <w:qFormat/>
    <w:rsid w:val="000F37A5"/>
  </w:style>
  <w:style w:type="paragraph" w:customStyle="1" w:styleId="Boldtextstyle">
    <w:name w:val="Bold text style"/>
    <w:basedOn w:val="Boxtext"/>
    <w:link w:val="BoldtextstyleChar"/>
    <w:qFormat/>
    <w:rsid w:val="000F37A5"/>
    <w:rPr>
      <w:b/>
    </w:rPr>
  </w:style>
  <w:style w:type="character" w:customStyle="1" w:styleId="BoxtextChar">
    <w:name w:val="Box text Char"/>
    <w:basedOn w:val="NormaltextboxChar"/>
    <w:link w:val="Boxtext"/>
    <w:rsid w:val="000F37A5"/>
    <w:rPr>
      <w:rFonts w:ascii="Arial" w:eastAsiaTheme="minorHAnsi" w:hAnsi="Arial" w:cstheme="minorBidi"/>
      <w:color w:val="404040" w:themeColor="text1" w:themeTint="BF"/>
      <w:sz w:val="22"/>
      <w:szCs w:val="22"/>
      <w:lang w:val="en-GB" w:eastAsia="en-US"/>
    </w:rPr>
  </w:style>
  <w:style w:type="paragraph" w:customStyle="1" w:styleId="Italicstextstyle">
    <w:name w:val="Italics text style"/>
    <w:basedOn w:val="Boxtext"/>
    <w:link w:val="ItalicstextstyleChar"/>
    <w:qFormat/>
    <w:rsid w:val="000F37A5"/>
    <w:rPr>
      <w:i/>
    </w:rPr>
  </w:style>
  <w:style w:type="character" w:customStyle="1" w:styleId="BoldtextstyleChar">
    <w:name w:val="Bold text style Char"/>
    <w:basedOn w:val="BoxtextChar"/>
    <w:link w:val="Boldtextstyle"/>
    <w:rsid w:val="000F37A5"/>
    <w:rPr>
      <w:rFonts w:ascii="Arial" w:eastAsiaTheme="minorHAnsi" w:hAnsi="Arial" w:cstheme="minorBidi"/>
      <w:b/>
      <w:color w:val="404040" w:themeColor="text1" w:themeTint="BF"/>
      <w:sz w:val="22"/>
      <w:szCs w:val="22"/>
      <w:lang w:val="en-GB" w:eastAsia="en-US"/>
    </w:rPr>
  </w:style>
  <w:style w:type="character" w:customStyle="1" w:styleId="ItalicstextstyleChar">
    <w:name w:val="Italics text style Char"/>
    <w:basedOn w:val="BoxtextChar"/>
    <w:link w:val="Italicstextstyle"/>
    <w:rsid w:val="000F37A5"/>
    <w:rPr>
      <w:rFonts w:ascii="Arial" w:eastAsiaTheme="minorHAnsi" w:hAnsi="Arial" w:cstheme="minorBidi"/>
      <w:i/>
      <w:color w:val="404040" w:themeColor="text1" w:themeTint="BF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rsid w:val="003715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0807"/>
    <w:pPr>
      <w:spacing w:before="100" w:beforeAutospacing="1" w:after="100" w:afterAutospacing="1"/>
    </w:pPr>
    <w:rPr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908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807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80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711"/>
    <w:rPr>
      <w:b/>
      <w:bCs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711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yloops.eu/cities/roskil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tyloops.eu/cities/bodo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ityloops.eu/cities/hoeje-taastru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tyloops.eu/cities/mikkel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EE044-9B24-4FAD-8284-2E36916E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Iclei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diazsantos</dc:creator>
  <cp:lastModifiedBy>jonoski</cp:lastModifiedBy>
  <cp:revision>2</cp:revision>
  <cp:lastPrinted>2016-11-02T14:02:00Z</cp:lastPrinted>
  <dcterms:created xsi:type="dcterms:W3CDTF">2021-06-10T12:50:00Z</dcterms:created>
  <dcterms:modified xsi:type="dcterms:W3CDTF">2021-06-10T12:50:00Z</dcterms:modified>
</cp:coreProperties>
</file>